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9D7" w:rsidRPr="005F7553" w:rsidRDefault="008E19D7" w:rsidP="008E19D7">
      <w:pPr>
        <w:spacing w:after="120"/>
        <w:jc w:val="both"/>
        <w:rPr>
          <w:rFonts w:ascii="Times New Roman" w:eastAsia="Arial Unicode MS" w:hAnsi="Times New Roman" w:cs="Times New Roman"/>
          <w:color w:val="000000"/>
        </w:rPr>
      </w:pPr>
      <w:r w:rsidRPr="005F7553">
        <w:rPr>
          <w:rFonts w:ascii="Times New Roman" w:eastAsia="Arial Unicode MS" w:hAnsi="Times New Roman" w:cs="Times New Roman"/>
          <w:b/>
          <w:color w:val="000000"/>
        </w:rPr>
        <w:t>9.</w:t>
      </w:r>
      <w:r w:rsidRPr="005F7553">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Εφόσον</w:t>
      </w:r>
      <w:r w:rsidRPr="005F7553">
        <w:rPr>
          <w:rFonts w:ascii="Times New Roman" w:eastAsia="Arial Unicode MS" w:hAnsi="Times New Roman" w:cs="Times New Roman"/>
          <w:color w:val="000000"/>
        </w:rPr>
        <w:t xml:space="preserve"> την πολυμάθεια την ακολουθεί η πολυλογία (για τούτο ο Πυθαγόρας πρόσταζε τους νέους να τηρούν πενταετή σιωπή, την οποίαν </w:t>
      </w:r>
      <w:r>
        <w:rPr>
          <w:rFonts w:ascii="Times New Roman" w:eastAsia="Arial Unicode MS" w:hAnsi="Times New Roman" w:cs="Times New Roman"/>
          <w:color w:val="000000"/>
        </w:rPr>
        <w:t>επ</w:t>
      </w:r>
      <w:r w:rsidRPr="005F7553">
        <w:rPr>
          <w:rFonts w:ascii="Times New Roman" w:eastAsia="Arial Unicode MS" w:hAnsi="Times New Roman" w:cs="Times New Roman"/>
          <w:color w:val="000000"/>
        </w:rPr>
        <w:t>ονόμασε εχεμύθεια),</w:t>
      </w:r>
      <w:r w:rsidRPr="00AA20DA">
        <w:rPr>
          <w:rStyle w:val="FootnoteCharacters"/>
          <w:rFonts w:ascii="Times New Roman" w:eastAsia="Arial Unicode MS" w:hAnsi="Times New Roman" w:cs="Times New Roman"/>
          <w:color w:val="000000"/>
          <w:kern w:val="24"/>
          <w:lang w:val="en-US"/>
        </w:rPr>
        <w:footnoteReference w:id="2"/>
      </w:r>
      <w:r w:rsidRPr="00AA20DA">
        <w:rPr>
          <w:rFonts w:ascii="Times New Roman" w:eastAsia="Arial Unicode MS" w:hAnsi="Times New Roman" w:cs="Times New Roman"/>
          <w:color w:val="000000"/>
        </w:rPr>
        <w:t xml:space="preserve"> </w:t>
      </w:r>
      <w:r w:rsidRPr="005F7553">
        <w:rPr>
          <w:rFonts w:ascii="Times New Roman" w:eastAsia="Arial Unicode MS" w:hAnsi="Times New Roman" w:cs="Times New Roman"/>
          <w:color w:val="000000"/>
        </w:rPr>
        <w:t>μοιραίο συνακόλουθο της περιέργειας είναι η κακολογία.</w:t>
      </w:r>
      <w:r w:rsidRPr="00AA20DA">
        <w:rPr>
          <w:rStyle w:val="FootnoteCharacters"/>
          <w:rFonts w:ascii="Times New Roman" w:eastAsia="Arial Unicode MS" w:hAnsi="Times New Roman" w:cs="Times New Roman"/>
          <w:color w:val="000000"/>
          <w:kern w:val="24"/>
          <w:lang w:val="en-US"/>
        </w:rPr>
        <w:footnoteReference w:id="3"/>
      </w:r>
      <w:r w:rsidRPr="005F7553">
        <w:rPr>
          <w:rStyle w:val="FootnoteCharacters"/>
          <w:rFonts w:ascii="Times New Roman" w:eastAsia="Arial Unicode MS" w:hAnsi="Times New Roman" w:cs="Times New Roman"/>
          <w:color w:val="000000"/>
          <w:vertAlign w:val="baseline"/>
        </w:rPr>
        <w:t xml:space="preserve"> </w:t>
      </w:r>
      <w:r w:rsidRPr="005F7553">
        <w:rPr>
          <w:rFonts w:ascii="Times New Roman" w:eastAsia="Arial Unicode MS" w:hAnsi="Times New Roman" w:cs="Times New Roman"/>
          <w:color w:val="000000"/>
        </w:rPr>
        <w:t>Οι περίεργοι, λοιπόν, με την ίδια ευχαρίστηση επικοινωνούν όσα ηδονίζονται να ακούν, και με μεγάλη χαρά διαδίδουν παντού όσα συλλέγουν από τους άλλους με περισσή φροντίδα. Εξού και, εκτός όλων των άλλων κακών, η συγκεκριμένη αρρώστια στέκεται εμπόδιο στην εκπλήρωση της ίδιας τους της επιθυμίας,</w:t>
      </w:r>
      <w:r w:rsidRPr="00AA20DA">
        <w:rPr>
          <w:rStyle w:val="FootnoteCharacters"/>
          <w:rFonts w:ascii="Times New Roman" w:eastAsia="Arial Unicode MS" w:hAnsi="Times New Roman" w:cs="Times New Roman"/>
          <w:color w:val="000000"/>
          <w:kern w:val="24"/>
          <w:lang w:val="en-US"/>
        </w:rPr>
        <w:footnoteReference w:id="4"/>
      </w:r>
      <w:r w:rsidRPr="005F7553">
        <w:rPr>
          <w:rFonts w:ascii="Times New Roman" w:eastAsia="Arial Unicode MS" w:hAnsi="Times New Roman" w:cs="Times New Roman"/>
          <w:color w:val="000000"/>
        </w:rPr>
        <w:t xml:space="preserve"> αφού όλοι φυλάγονται από αυτούς και τους κρύβουν την αλήθεια, ενώ δεν είναι πρόθυμοι ούτε να κάνουν το παραμικρό ενόσω βλέπει ο πολυπράγμων ούτε να μιλήσουν ενόσω αυτός ακούει. Αντιθέτως, και τις σκέψεις τους συγκρατούν και τους διακανονισμούς της δουλειάς τους αναβάλλουν, έως ότου αυτός φύγει από τη μέση. Εάν δε τύχει και ο πολυπράγμων εμφανιστεί ενόσω συζητείται κάτι εμπιστευτικό ή συντελείται κάποια συναλλαγή σπουδαία, αμέσως όλοι ‘</w:t>
      </w:r>
      <w:r>
        <w:rPr>
          <w:rFonts w:ascii="Times New Roman" w:eastAsia="Arial Unicode MS" w:hAnsi="Times New Roman" w:cs="Times New Roman"/>
          <w:color w:val="000000"/>
        </w:rPr>
        <w:t>αποσύρουν</w:t>
      </w:r>
      <w:r w:rsidRPr="005F7553">
        <w:rPr>
          <w:rFonts w:ascii="Times New Roman" w:eastAsia="Arial Unicode MS" w:hAnsi="Times New Roman" w:cs="Times New Roman"/>
          <w:color w:val="000000"/>
        </w:rPr>
        <w:t>’</w:t>
      </w:r>
      <w:r>
        <w:rPr>
          <w:rFonts w:ascii="Times New Roman" w:eastAsia="Arial Unicode MS" w:hAnsi="Times New Roman" w:cs="Times New Roman"/>
          <w:color w:val="000000"/>
        </w:rPr>
        <w:t xml:space="preserve"> </w:t>
      </w:r>
      <w:r w:rsidRPr="005F7553">
        <w:rPr>
          <w:rFonts w:ascii="Times New Roman" w:eastAsia="Arial Unicode MS" w:hAnsi="Times New Roman" w:cs="Times New Roman"/>
          <w:color w:val="000000"/>
        </w:rPr>
        <w:t>και αποκρύπτουν τα συμβαίνοντα, όπως ακριβώς σπεύδουμε να απομακρύνουμε τον μεζέ από μια γάτα που τυχαίνει να περάσει τρέχοντας˙ ώστε πολύ συχνά οι τύποι αυτοί είναι οι μόνοι στους οποίους δεν λένε μήτε δείχνουν όσα μπορούν όλοι οι υπόλοιποι να ακούσουν και να δουν.</w:t>
      </w:r>
    </w:p>
    <w:p w:rsidR="008E19D7" w:rsidRPr="005F7553" w:rsidRDefault="008E19D7" w:rsidP="008E19D7">
      <w:pPr>
        <w:spacing w:after="120"/>
        <w:jc w:val="both"/>
        <w:rPr>
          <w:rFonts w:ascii="Times New Roman" w:eastAsia="Arial Unicode MS" w:hAnsi="Times New Roman" w:cs="Times New Roman"/>
          <w:color w:val="000000"/>
        </w:rPr>
      </w:pPr>
      <w:r w:rsidRPr="005F7553">
        <w:rPr>
          <w:rFonts w:ascii="Times New Roman" w:eastAsia="Arial Unicode MS" w:hAnsi="Times New Roman" w:cs="Times New Roman"/>
          <w:color w:val="000000"/>
        </w:rPr>
        <w:tab/>
        <w:t>Για τον ίδιον ακριβώς λόγο, τον πολυπράγμονα δεν τον εμπιστεύεται κανείς˙</w:t>
      </w:r>
      <w:r w:rsidRPr="00AA20DA">
        <w:rPr>
          <w:rStyle w:val="FootnoteCharacters"/>
          <w:rFonts w:ascii="Times New Roman" w:eastAsia="Arial Unicode MS" w:hAnsi="Times New Roman" w:cs="Times New Roman"/>
          <w:color w:val="000000"/>
          <w:kern w:val="24"/>
          <w:lang w:val="en-US"/>
        </w:rPr>
        <w:footnoteReference w:id="5"/>
      </w:r>
      <w:r w:rsidRPr="005F7553">
        <w:rPr>
          <w:rFonts w:ascii="Times New Roman" w:eastAsia="Arial Unicode MS" w:hAnsi="Times New Roman" w:cs="Times New Roman"/>
          <w:color w:val="000000"/>
        </w:rPr>
        <w:t xml:space="preserve"> στους υπηρέτες, λοιπόν, και στους ξένους ας εμπιστευόμαστε περισσότερο τις επιστολές, τα γράμματα και τις σφραγίδες μας παρά σε πολυπράγμονες φίλους ή συγγενείς. Ο περιβόητος Βελλεροφόντης</w:t>
      </w:r>
      <w:r w:rsidRPr="00AA20DA">
        <w:rPr>
          <w:rStyle w:val="FootnoteCharacters"/>
          <w:rFonts w:ascii="Times New Roman" w:eastAsia="Arial Unicode MS" w:hAnsi="Times New Roman" w:cs="Times New Roman"/>
          <w:color w:val="000000"/>
          <w:kern w:val="24"/>
          <w:lang w:val="en-US"/>
        </w:rPr>
        <w:footnoteReference w:id="6"/>
      </w:r>
      <w:r w:rsidRPr="005F7553">
        <w:rPr>
          <w:rFonts w:ascii="Times New Roman" w:eastAsia="Arial Unicode MS" w:hAnsi="Times New Roman" w:cs="Times New Roman"/>
          <w:color w:val="000000"/>
        </w:rPr>
        <w:t xml:space="preserve"> δεν παραβίασε μήτε τη σφραγίδα του γράμματος που μετέφερε˙ χάρις στην εγκράτεια που τον διέκρινε, δεν άπλωσε διόλου το χέρι του στην επιστολή, και ας τον κατηγορούσε, όπως, άλλωστε, είχε κάνει και με την ίδια τη γυναίκα του βασιλιά. Διότι η πολυπραγμοσύνη είναι ένδειξη έλλειψης εγκράτειας όπως και η μοιχεία, και, πέραν αυτού, ένδειξη παντελούς έλλειψης κοινού νου και τρομερής αφροσύνης. Πράγματι, είναι το αποκορύφωμα της μανίας και της παραφροσύνης το να αγνοείς τόσες γυναίκες που είναι ελευθέρως διαθέσιμες σε όλους και να εξωθείσαι, αντ’ αυτού, σε εκείνην που είναι κλειδαμπαρωμένη και πανάκριβη – και πολλές φορές, καθώς αποδεικνύεται, άσχημη. Και όμως, αυτό ακριβώς κάνουν οι πολυπράγμονες˙ παρακάμπτουν, δηλαδή, πολλά και </w:t>
      </w:r>
      <w:r>
        <w:rPr>
          <w:rFonts w:ascii="Times New Roman" w:eastAsia="Arial Unicode MS" w:hAnsi="Times New Roman" w:cs="Times New Roman"/>
          <w:color w:val="000000"/>
        </w:rPr>
        <w:t>αξιόλογα θεάματα ή ακούσματα και</w:t>
      </w:r>
      <w:r w:rsidRPr="005F7553">
        <w:rPr>
          <w:rFonts w:ascii="Times New Roman" w:eastAsia="Arial Unicode MS" w:hAnsi="Times New Roman" w:cs="Times New Roman"/>
          <w:color w:val="000000"/>
        </w:rPr>
        <w:t xml:space="preserve"> ψυχαγωγικές</w:t>
      </w:r>
      <w:r>
        <w:rPr>
          <w:rFonts w:ascii="Times New Roman" w:eastAsia="Arial Unicode MS" w:hAnsi="Times New Roman" w:cs="Times New Roman"/>
          <w:color w:val="000000"/>
        </w:rPr>
        <w:t xml:space="preserve"> ή περισπούδαστες</w:t>
      </w:r>
      <w:r w:rsidRPr="005F7553">
        <w:rPr>
          <w:rFonts w:ascii="Times New Roman" w:eastAsia="Arial Unicode MS" w:hAnsi="Times New Roman" w:cs="Times New Roman"/>
          <w:color w:val="000000"/>
        </w:rPr>
        <w:t xml:space="preserve"> ασχολίες, και καταλήγουν να ανοίγουν ξένες επιστολές άνευ αξίας, να κολλούν τα αυτιά στους τοίχους των γειτόνων τους και να ψιθυρίζουν μαζί με τους οικιακούς δούλους και </w:t>
      </w:r>
      <w:r>
        <w:rPr>
          <w:rFonts w:ascii="Times New Roman" w:eastAsia="Arial Unicode MS" w:hAnsi="Times New Roman" w:cs="Times New Roman"/>
          <w:color w:val="000000"/>
        </w:rPr>
        <w:t xml:space="preserve">με </w:t>
      </w:r>
      <w:r w:rsidRPr="005F7553">
        <w:rPr>
          <w:rFonts w:ascii="Times New Roman" w:eastAsia="Arial Unicode MS" w:hAnsi="Times New Roman" w:cs="Times New Roman"/>
          <w:color w:val="000000"/>
        </w:rPr>
        <w:t>τα γύναια, με τρόπο που πολλές φορές επισύρει κινδύνους και οπωσδήποτε φήμη κακή.</w:t>
      </w:r>
    </w:p>
    <w:p w:rsidR="006931AE" w:rsidRDefault="006931AE"/>
    <w:sectPr w:rsidR="006931AE" w:rsidSect="006931A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564" w:rsidRDefault="004A2564" w:rsidP="008E19D7">
      <w:r>
        <w:separator/>
      </w:r>
    </w:p>
  </w:endnote>
  <w:endnote w:type="continuationSeparator" w:id="1">
    <w:p w:rsidR="004A2564" w:rsidRDefault="004A2564" w:rsidP="008E19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nos">
    <w:altName w:val="MS PMincho"/>
    <w:charset w:val="80"/>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564" w:rsidRDefault="004A2564" w:rsidP="008E19D7">
      <w:r>
        <w:separator/>
      </w:r>
    </w:p>
  </w:footnote>
  <w:footnote w:type="continuationSeparator" w:id="1">
    <w:p w:rsidR="004A2564" w:rsidRDefault="004A2564" w:rsidP="008E19D7">
      <w:r>
        <w:continuationSeparator/>
      </w:r>
    </w:p>
  </w:footnote>
  <w:footnote w:id="2">
    <w:p w:rsidR="008E19D7" w:rsidRPr="00155517" w:rsidRDefault="008E19D7" w:rsidP="008E19D7">
      <w:pPr>
        <w:pStyle w:val="FootnoteText"/>
        <w:jc w:val="both"/>
        <w:rPr>
          <w:rFonts w:ascii="Times New Roman" w:hAnsi="Times New Roman" w:cs="Times New Roman"/>
          <w:sz w:val="22"/>
          <w:szCs w:val="22"/>
        </w:rPr>
      </w:pPr>
      <w:r w:rsidRPr="00155517">
        <w:rPr>
          <w:rStyle w:val="FootnoteCharacters"/>
          <w:rFonts w:ascii="Times New Roman" w:hAnsi="Times New Roman" w:cs="Times New Roman"/>
          <w:sz w:val="22"/>
          <w:szCs w:val="22"/>
        </w:rPr>
        <w:footnoteRef/>
      </w:r>
      <w:r w:rsidRPr="00155517">
        <w:rPr>
          <w:rFonts w:ascii="Times New Roman" w:hAnsi="Times New Roman" w:cs="Times New Roman"/>
          <w:sz w:val="22"/>
          <w:szCs w:val="22"/>
        </w:rPr>
        <w:t xml:space="preserve"> Πρβλ. Πλουτάρχου </w:t>
      </w:r>
      <w:r w:rsidRPr="00155517">
        <w:rPr>
          <w:rFonts w:ascii="Times New Roman" w:hAnsi="Times New Roman" w:cs="Times New Roman"/>
          <w:i/>
          <w:sz w:val="22"/>
          <w:szCs w:val="22"/>
        </w:rPr>
        <w:t>Νουμᾶς</w:t>
      </w:r>
      <w:r w:rsidRPr="00155517">
        <w:rPr>
          <w:rFonts w:ascii="Times New Roman" w:hAnsi="Times New Roman" w:cs="Times New Roman"/>
          <w:sz w:val="22"/>
          <w:szCs w:val="22"/>
        </w:rPr>
        <w:t xml:space="preserve"> 8 (65</w:t>
      </w:r>
      <w:r w:rsidRPr="00155517">
        <w:rPr>
          <w:rFonts w:ascii="Times New Roman" w:hAnsi="Times New Roman" w:cs="Times New Roman"/>
          <w:sz w:val="22"/>
          <w:szCs w:val="22"/>
          <w:lang w:val="en-GB"/>
        </w:rPr>
        <w:t>B</w:t>
      </w:r>
      <w:r w:rsidRPr="00155517">
        <w:rPr>
          <w:rFonts w:ascii="Times New Roman" w:hAnsi="Times New Roman" w:cs="Times New Roman"/>
          <w:sz w:val="22"/>
          <w:szCs w:val="22"/>
        </w:rPr>
        <w:t xml:space="preserve">) και </w:t>
      </w:r>
      <w:r w:rsidRPr="00155517">
        <w:rPr>
          <w:rFonts w:ascii="Times New Roman" w:hAnsi="Times New Roman" w:cs="Times New Roman"/>
          <w:i/>
          <w:sz w:val="22"/>
          <w:szCs w:val="22"/>
        </w:rPr>
        <w:t xml:space="preserve">Περὶ τοῦ βίου καὶ τῆς ποιήσεως τοῦ Ὀμήρου </w:t>
      </w:r>
      <w:r w:rsidRPr="00155517">
        <w:rPr>
          <w:rFonts w:ascii="Times New Roman" w:hAnsi="Times New Roman" w:cs="Times New Roman"/>
          <w:sz w:val="22"/>
          <w:szCs w:val="22"/>
        </w:rPr>
        <w:t>149 (</w:t>
      </w:r>
      <w:r w:rsidRPr="00155517">
        <w:rPr>
          <w:rFonts w:ascii="Times New Roman" w:hAnsi="Times New Roman" w:cs="Times New Roman"/>
          <w:sz w:val="22"/>
          <w:szCs w:val="22"/>
          <w:lang w:val="en-GB"/>
        </w:rPr>
        <w:t>Bernardakis</w:t>
      </w:r>
      <w:r w:rsidRPr="00155517">
        <w:rPr>
          <w:rFonts w:ascii="Times New Roman" w:hAnsi="Times New Roman" w:cs="Times New Roman"/>
          <w:sz w:val="22"/>
          <w:szCs w:val="22"/>
        </w:rPr>
        <w:t xml:space="preserve">, τομ. 7, σελ. 420). Επίσης, Λουκιανού </w:t>
      </w:r>
      <w:r>
        <w:rPr>
          <w:rFonts w:ascii="Times New Roman" w:hAnsi="Times New Roman" w:cs="Times New Roman"/>
          <w:i/>
          <w:sz w:val="22"/>
          <w:szCs w:val="22"/>
        </w:rPr>
        <w:t>Βίων π</w:t>
      </w:r>
      <w:r w:rsidRPr="00155517">
        <w:rPr>
          <w:rFonts w:ascii="Times New Roman" w:hAnsi="Times New Roman" w:cs="Times New Roman"/>
          <w:i/>
          <w:sz w:val="22"/>
          <w:szCs w:val="22"/>
        </w:rPr>
        <w:t>ρᾶσις</w:t>
      </w:r>
      <w:r w:rsidRPr="00155517">
        <w:rPr>
          <w:rFonts w:ascii="Times New Roman" w:hAnsi="Times New Roman" w:cs="Times New Roman"/>
          <w:sz w:val="22"/>
          <w:szCs w:val="22"/>
        </w:rPr>
        <w:t xml:space="preserve"> 3.  </w:t>
      </w:r>
    </w:p>
  </w:footnote>
  <w:footnote w:id="3">
    <w:p w:rsidR="008E19D7" w:rsidRPr="00155517" w:rsidRDefault="008E19D7" w:rsidP="008E19D7">
      <w:pPr>
        <w:pStyle w:val="FootnoteText"/>
        <w:rPr>
          <w:rFonts w:ascii="Times New Roman" w:hAnsi="Times New Roman" w:cs="Times New Roman"/>
          <w:sz w:val="22"/>
          <w:szCs w:val="22"/>
        </w:rPr>
      </w:pPr>
      <w:r w:rsidRPr="00155517">
        <w:rPr>
          <w:rStyle w:val="FootnoteCharacters"/>
          <w:rFonts w:ascii="Times New Roman" w:hAnsi="Times New Roman" w:cs="Times New Roman"/>
          <w:sz w:val="22"/>
          <w:szCs w:val="22"/>
        </w:rPr>
        <w:footnoteRef/>
      </w:r>
      <w:r w:rsidRPr="00155517">
        <w:rPr>
          <w:rFonts w:ascii="Times New Roman" w:hAnsi="Times New Roman" w:cs="Times New Roman"/>
          <w:sz w:val="22"/>
          <w:szCs w:val="22"/>
        </w:rPr>
        <w:t xml:space="preserve"> Πρβλ. Πλουτάρχου</w:t>
      </w:r>
      <w:r w:rsidRPr="00155517">
        <w:rPr>
          <w:rFonts w:ascii="Times New Roman" w:hAnsi="Times New Roman" w:cs="Times New Roman"/>
          <w:i/>
          <w:sz w:val="22"/>
          <w:szCs w:val="22"/>
        </w:rPr>
        <w:t xml:space="preserve"> Περὶ ἀδολεσχίας </w:t>
      </w:r>
      <w:r w:rsidRPr="00155517">
        <w:rPr>
          <w:rFonts w:ascii="Times New Roman" w:hAnsi="Times New Roman" w:cs="Times New Roman"/>
          <w:sz w:val="22"/>
          <w:szCs w:val="22"/>
        </w:rPr>
        <w:t>508</w:t>
      </w:r>
      <w:r w:rsidRPr="00155517">
        <w:rPr>
          <w:rFonts w:ascii="Times New Roman" w:hAnsi="Times New Roman" w:cs="Times New Roman"/>
          <w:sz w:val="22"/>
          <w:szCs w:val="22"/>
          <w:lang w:val="en-GB"/>
        </w:rPr>
        <w:t>C</w:t>
      </w:r>
      <w:r w:rsidRPr="00155517">
        <w:rPr>
          <w:rFonts w:ascii="Times New Roman" w:hAnsi="Times New Roman" w:cs="Times New Roman"/>
          <w:sz w:val="22"/>
          <w:szCs w:val="22"/>
        </w:rPr>
        <w:t xml:space="preserve">. </w:t>
      </w:r>
    </w:p>
  </w:footnote>
  <w:footnote w:id="4">
    <w:p w:rsidR="008E19D7" w:rsidRPr="00155517" w:rsidRDefault="008E19D7" w:rsidP="008E19D7">
      <w:pPr>
        <w:pStyle w:val="FootnoteText"/>
      </w:pPr>
      <w:r>
        <w:rPr>
          <w:rStyle w:val="FootnoteCharacters"/>
          <w:rFonts w:ascii="Times New Roman" w:hAnsi="Times New Roman"/>
        </w:rPr>
        <w:footnoteRef/>
      </w:r>
      <w:r w:rsidRPr="00155517">
        <w:t xml:space="preserve"> </w:t>
      </w:r>
      <w:r w:rsidRPr="00155517">
        <w:rPr>
          <w:rFonts w:ascii="Times New Roman" w:hAnsi="Times New Roman" w:cs="Times New Roman"/>
          <w:sz w:val="22"/>
          <w:szCs w:val="22"/>
        </w:rPr>
        <w:t>Πρβλ. Πλουτάρχου</w:t>
      </w:r>
      <w:r w:rsidRPr="00155517">
        <w:rPr>
          <w:rFonts w:ascii="Times New Roman" w:hAnsi="Times New Roman" w:cs="Times New Roman"/>
          <w:i/>
          <w:sz w:val="22"/>
          <w:szCs w:val="22"/>
        </w:rPr>
        <w:t xml:space="preserve"> </w:t>
      </w:r>
      <w:r w:rsidRPr="00731DF5">
        <w:rPr>
          <w:rFonts w:ascii="Times New Roman" w:hAnsi="Times New Roman" w:cs="Times New Roman"/>
          <w:i/>
          <w:sz w:val="22"/>
          <w:szCs w:val="22"/>
        </w:rPr>
        <w:t xml:space="preserve">Περὶ ἀδολεσχίας </w:t>
      </w:r>
      <w:r>
        <w:rPr>
          <w:rFonts w:ascii="Times New Roman" w:hAnsi="Times New Roman" w:cs="Times New Roman"/>
          <w:sz w:val="22"/>
          <w:szCs w:val="22"/>
        </w:rPr>
        <w:t>5</w:t>
      </w:r>
      <w:r w:rsidRPr="00155517">
        <w:rPr>
          <w:rFonts w:ascii="Times New Roman" w:hAnsi="Times New Roman" w:cs="Times New Roman"/>
          <w:sz w:val="22"/>
          <w:szCs w:val="22"/>
        </w:rPr>
        <w:t>02</w:t>
      </w:r>
      <w:r>
        <w:rPr>
          <w:rFonts w:ascii="Times New Roman" w:hAnsi="Times New Roman" w:cs="Times New Roman"/>
          <w:sz w:val="22"/>
          <w:szCs w:val="22"/>
          <w:lang w:val="en-GB"/>
        </w:rPr>
        <w:t>E</w:t>
      </w:r>
      <w:r w:rsidRPr="00155517">
        <w:rPr>
          <w:rFonts w:ascii="Times New Roman" w:hAnsi="Times New Roman" w:cs="Times New Roman"/>
          <w:sz w:val="22"/>
          <w:szCs w:val="22"/>
        </w:rPr>
        <w:t>-</w:t>
      </w:r>
      <w:r>
        <w:rPr>
          <w:rFonts w:ascii="Times New Roman" w:hAnsi="Times New Roman" w:cs="Times New Roman"/>
          <w:sz w:val="22"/>
          <w:szCs w:val="22"/>
          <w:lang w:val="en-GB"/>
        </w:rPr>
        <w:t>F</w:t>
      </w:r>
      <w:r w:rsidRPr="0005510E">
        <w:rPr>
          <w:rFonts w:ascii="Times New Roman" w:hAnsi="Times New Roman" w:cs="Times New Roman"/>
          <w:sz w:val="22"/>
          <w:szCs w:val="22"/>
        </w:rPr>
        <w:t>.</w:t>
      </w:r>
    </w:p>
  </w:footnote>
  <w:footnote w:id="5">
    <w:p w:rsidR="008E19D7" w:rsidRPr="00155517" w:rsidRDefault="008E19D7" w:rsidP="008E19D7">
      <w:pPr>
        <w:pStyle w:val="FootnoteText"/>
      </w:pPr>
      <w:r>
        <w:rPr>
          <w:rStyle w:val="FootnoteCharacters"/>
          <w:rFonts w:ascii="Times New Roman" w:hAnsi="Times New Roman"/>
        </w:rPr>
        <w:footnoteRef/>
      </w:r>
      <w:r w:rsidRPr="00155517">
        <w:t xml:space="preserve"> </w:t>
      </w:r>
      <w:r w:rsidRPr="00155517">
        <w:rPr>
          <w:rFonts w:ascii="Times New Roman" w:hAnsi="Times New Roman" w:cs="Times New Roman"/>
          <w:sz w:val="22"/>
          <w:szCs w:val="22"/>
        </w:rPr>
        <w:t xml:space="preserve">Πρβλ. Πλουτάρχου </w:t>
      </w:r>
      <w:r w:rsidRPr="00731DF5">
        <w:rPr>
          <w:rFonts w:ascii="Times New Roman" w:hAnsi="Times New Roman" w:cs="Times New Roman"/>
          <w:i/>
          <w:sz w:val="22"/>
          <w:szCs w:val="22"/>
        </w:rPr>
        <w:t xml:space="preserve">Περὶ ἀδολεσχίας </w:t>
      </w:r>
      <w:r>
        <w:rPr>
          <w:rFonts w:ascii="Times New Roman" w:hAnsi="Times New Roman" w:cs="Times New Roman"/>
          <w:sz w:val="22"/>
          <w:szCs w:val="22"/>
        </w:rPr>
        <w:t>50</w:t>
      </w:r>
      <w:r w:rsidRPr="00155517">
        <w:rPr>
          <w:rFonts w:ascii="Times New Roman" w:hAnsi="Times New Roman" w:cs="Times New Roman"/>
          <w:sz w:val="22"/>
          <w:szCs w:val="22"/>
        </w:rPr>
        <w:t>3</w:t>
      </w:r>
      <w:r>
        <w:rPr>
          <w:rFonts w:ascii="Times New Roman" w:hAnsi="Times New Roman" w:cs="Times New Roman"/>
          <w:sz w:val="22"/>
          <w:szCs w:val="22"/>
          <w:lang w:val="en-GB"/>
        </w:rPr>
        <w:t>C</w:t>
      </w:r>
      <w:r w:rsidRPr="00155517">
        <w:rPr>
          <w:rFonts w:ascii="Times New Roman" w:hAnsi="Times New Roman" w:cs="Times New Roman"/>
          <w:sz w:val="22"/>
          <w:szCs w:val="22"/>
        </w:rPr>
        <w:t>-</w:t>
      </w:r>
      <w:r>
        <w:rPr>
          <w:rFonts w:ascii="Times New Roman" w:hAnsi="Times New Roman" w:cs="Times New Roman"/>
          <w:sz w:val="22"/>
          <w:szCs w:val="22"/>
          <w:lang w:val="en-GB"/>
        </w:rPr>
        <w:t>D</w:t>
      </w:r>
      <w:r w:rsidRPr="00155517">
        <w:rPr>
          <w:rFonts w:ascii="Times New Roman" w:hAnsi="Times New Roman" w:cs="Times New Roman"/>
          <w:sz w:val="22"/>
          <w:szCs w:val="22"/>
        </w:rPr>
        <w:t>.</w:t>
      </w:r>
    </w:p>
  </w:footnote>
  <w:footnote w:id="6">
    <w:p w:rsidR="008E19D7" w:rsidRPr="00CB5454" w:rsidRDefault="008E19D7" w:rsidP="008E19D7">
      <w:pPr>
        <w:pStyle w:val="FootnoteText"/>
        <w:rPr>
          <w:rFonts w:ascii="Times New Roman" w:hAnsi="Times New Roman" w:cs="Times New Roman"/>
          <w:sz w:val="22"/>
          <w:szCs w:val="22"/>
        </w:rPr>
      </w:pPr>
      <w:r>
        <w:rPr>
          <w:rStyle w:val="FootnoteCharacters"/>
          <w:rFonts w:ascii="Times New Roman" w:hAnsi="Times New Roman"/>
        </w:rPr>
        <w:footnoteRef/>
      </w:r>
      <w:r w:rsidRPr="00CB5454">
        <w:rPr>
          <w:rFonts w:ascii="Times New Roman" w:hAnsi="Times New Roman" w:cs="Times New Roman"/>
          <w:sz w:val="22"/>
          <w:szCs w:val="22"/>
        </w:rPr>
        <w:t xml:space="preserve"> </w:t>
      </w:r>
      <w:r>
        <w:rPr>
          <w:rFonts w:ascii="Times New Roman" w:hAnsi="Times New Roman" w:cs="Times New Roman"/>
          <w:sz w:val="22"/>
          <w:szCs w:val="22"/>
        </w:rPr>
        <w:t>Βλ</w:t>
      </w:r>
      <w:r w:rsidRPr="00CB5454">
        <w:rPr>
          <w:rFonts w:ascii="Times New Roman" w:hAnsi="Times New Roman" w:cs="Times New Roman"/>
          <w:sz w:val="22"/>
          <w:szCs w:val="22"/>
        </w:rPr>
        <w:t xml:space="preserve">. </w:t>
      </w:r>
      <w:r>
        <w:rPr>
          <w:rFonts w:ascii="Times New Roman" w:hAnsi="Times New Roman" w:cs="Times New Roman"/>
          <w:sz w:val="22"/>
          <w:szCs w:val="22"/>
        </w:rPr>
        <w:t>Ομήρου</w:t>
      </w:r>
      <w:r w:rsidRPr="00CB5454">
        <w:rPr>
          <w:rFonts w:ascii="Times New Roman" w:hAnsi="Times New Roman" w:cs="Times New Roman"/>
          <w:sz w:val="22"/>
          <w:szCs w:val="22"/>
        </w:rPr>
        <w:t xml:space="preserve"> </w:t>
      </w:r>
      <w:r w:rsidRPr="00354FAA">
        <w:rPr>
          <w:rFonts w:ascii="Times New Roman" w:hAnsi="Times New Roman" w:cs="Times New Roman"/>
          <w:i/>
          <w:sz w:val="22"/>
          <w:szCs w:val="22"/>
        </w:rPr>
        <w:t>Ἰλι</w:t>
      </w:r>
      <w:r>
        <w:rPr>
          <w:rFonts w:ascii="Times New Roman" w:hAnsi="Times New Roman" w:cs="Times New Roman"/>
          <w:i/>
          <w:sz w:val="22"/>
          <w:szCs w:val="22"/>
        </w:rPr>
        <w:t>άς</w:t>
      </w:r>
      <w:r w:rsidRPr="00CB5454">
        <w:rPr>
          <w:rFonts w:ascii="Times New Roman" w:hAnsi="Times New Roman" w:cs="Times New Roman"/>
          <w:i/>
          <w:sz w:val="22"/>
          <w:szCs w:val="22"/>
        </w:rPr>
        <w:t xml:space="preserve"> </w:t>
      </w:r>
      <w:r>
        <w:rPr>
          <w:rFonts w:ascii="Times New Roman" w:hAnsi="Times New Roman" w:cs="Times New Roman"/>
          <w:sz w:val="22"/>
          <w:szCs w:val="22"/>
        </w:rPr>
        <w:t>Ζ</w:t>
      </w:r>
      <w:r w:rsidRPr="00CB5454">
        <w:rPr>
          <w:rFonts w:ascii="Times New Roman" w:hAnsi="Times New Roman" w:cs="Times New Roman"/>
          <w:sz w:val="22"/>
          <w:szCs w:val="22"/>
        </w:rPr>
        <w:t xml:space="preserve"> 155-90.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E19D7"/>
    <w:rsid w:val="004A2564"/>
    <w:rsid w:val="006931AE"/>
    <w:rsid w:val="008E19D7"/>
    <w:rsid w:val="00CB0C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9D7"/>
    <w:pPr>
      <w:widowControl w:val="0"/>
      <w:suppressAutoHyphens/>
      <w:spacing w:after="0" w:line="240" w:lineRule="auto"/>
      <w:jc w:val="left"/>
    </w:pPr>
    <w:rPr>
      <w:rFonts w:ascii="Tinos" w:eastAsia="Droid Sans Fallback" w:hAnsi="Tinos" w:cs="DejaVu Sans"/>
      <w:kern w:val="1"/>
      <w:sz w:val="24"/>
      <w:szCs w:val="24"/>
      <w:lang w:val="el-GR"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8E19D7"/>
    <w:rPr>
      <w:vertAlign w:val="superscript"/>
    </w:rPr>
  </w:style>
  <w:style w:type="paragraph" w:styleId="FootnoteText">
    <w:name w:val="footnote text"/>
    <w:basedOn w:val="Normal"/>
    <w:link w:val="FootnoteTextChar"/>
    <w:rsid w:val="008E19D7"/>
    <w:pPr>
      <w:suppressLineNumbers/>
      <w:ind w:left="283" w:hanging="283"/>
    </w:pPr>
    <w:rPr>
      <w:sz w:val="20"/>
      <w:szCs w:val="20"/>
    </w:rPr>
  </w:style>
  <w:style w:type="character" w:customStyle="1" w:styleId="FootnoteTextChar">
    <w:name w:val="Footnote Text Char"/>
    <w:basedOn w:val="DefaultParagraphFont"/>
    <w:link w:val="FootnoteText"/>
    <w:rsid w:val="008E19D7"/>
    <w:rPr>
      <w:rFonts w:ascii="Tinos" w:eastAsia="Droid Sans Fallback" w:hAnsi="Tinos" w:cs="DejaVu Sans"/>
      <w:kern w:val="1"/>
      <w:sz w:val="20"/>
      <w:szCs w:val="20"/>
      <w:lang w:val="el-GR"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2161</Characters>
  <Application>Microsoft Office Word</Application>
  <DocSecurity>0</DocSecurity>
  <Lines>18</Lines>
  <Paragraphs>5</Paragraphs>
  <ScaleCrop>false</ScaleCrop>
  <Company>TEAM OS</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efi</cp:lastModifiedBy>
  <cp:revision>1</cp:revision>
  <dcterms:created xsi:type="dcterms:W3CDTF">2015-03-15T14:58:00Z</dcterms:created>
  <dcterms:modified xsi:type="dcterms:W3CDTF">2015-03-15T15:03:00Z</dcterms:modified>
</cp:coreProperties>
</file>