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9361CB" w14:textId="77777777" w:rsidR="00A63283" w:rsidRDefault="00A63283" w:rsidP="00A63283">
      <w:pPr>
        <w:pStyle w:val="a"/>
        <w:pBdr>
          <w:top w:val="none" w:sz="0" w:space="0" w:color="auto"/>
        </w:pBdr>
        <w:shd w:val="clear" w:color="auto" w:fill="BFBFBF" w:themeFill="background1" w:themeFillShade="BF"/>
        <w:spacing w:line="360" w:lineRule="auto"/>
        <w:rPr>
          <w:rFonts w:ascii="Times New Roman" w:hAnsi="Times New Roman"/>
          <w:b/>
          <w:bCs/>
          <w:sz w:val="24"/>
          <w:szCs w:val="24"/>
        </w:rPr>
      </w:pPr>
      <w:bookmarkStart w:id="0" w:name="_GoBack"/>
      <w:bookmarkEnd w:id="0"/>
      <w:r>
        <w:rPr>
          <w:rFonts w:ascii="Times New Roman" w:hAnsi="Times New Roman"/>
          <w:b/>
          <w:bCs/>
          <w:sz w:val="24"/>
          <w:szCs w:val="24"/>
        </w:rPr>
        <w:t>Ενότητα 1. Ενταξιακή Εκπαίδευση</w:t>
      </w:r>
    </w:p>
    <w:p w14:paraId="011B540F" w14:textId="77777777" w:rsidR="00A63283" w:rsidRDefault="00A63283" w:rsidP="00044937">
      <w:pPr>
        <w:pStyle w:val="a"/>
        <w:pBdr>
          <w:top w:val="none" w:sz="0" w:space="0" w:color="auto"/>
        </w:pBdr>
        <w:spacing w:line="360" w:lineRule="auto"/>
        <w:jc w:val="both"/>
        <w:rPr>
          <w:rFonts w:ascii="Times New Roman" w:hAnsi="Times New Roman"/>
          <w:sz w:val="24"/>
          <w:szCs w:val="24"/>
        </w:rPr>
      </w:pPr>
    </w:p>
    <w:p w14:paraId="1074767B" w14:textId="77777777" w:rsidR="00CF753E" w:rsidRDefault="00CF753E" w:rsidP="00044937">
      <w:pPr>
        <w:pStyle w:val="a"/>
        <w:pBdr>
          <w:top w:val="none" w:sz="0" w:space="0" w:color="auto"/>
        </w:pBdr>
        <w:spacing w:line="360" w:lineRule="auto"/>
        <w:jc w:val="both"/>
        <w:rPr>
          <w:rFonts w:ascii="Times New Roman" w:hAnsi="Times New Roman"/>
          <w:sz w:val="24"/>
          <w:szCs w:val="24"/>
        </w:rPr>
      </w:pPr>
    </w:p>
    <w:p w14:paraId="5EF1F48C" w14:textId="77777777" w:rsidR="00CF753E" w:rsidRPr="00CF753E" w:rsidRDefault="00CF753E" w:rsidP="00CF753E">
      <w:pPr>
        <w:pStyle w:val="a"/>
        <w:spacing w:line="360" w:lineRule="auto"/>
        <w:rPr>
          <w:i/>
        </w:rPr>
      </w:pPr>
      <w:r w:rsidRPr="00CF753E">
        <w:rPr>
          <w:i/>
        </w:rPr>
        <w:t>Αναστασία Βλάχου, Καθηγήτρια Ειδικής Αγωγής- Εκπαιδευτικής Ένταξης, Παιδαγωγικό Τμήμα Ειδικής Αγωγής, Πανεπιστήμιο Θεσσαλίας, Βόλος.</w:t>
      </w:r>
    </w:p>
    <w:p w14:paraId="033F761E" w14:textId="77777777" w:rsidR="00CF753E" w:rsidRPr="00CF753E" w:rsidRDefault="00CF753E" w:rsidP="00CF753E">
      <w:pPr>
        <w:pStyle w:val="a"/>
      </w:pPr>
    </w:p>
    <w:p w14:paraId="34A31133" w14:textId="77777777" w:rsidR="00CF753E" w:rsidRDefault="00CF753E" w:rsidP="00044937">
      <w:pPr>
        <w:pStyle w:val="a"/>
        <w:pBdr>
          <w:top w:val="none" w:sz="0" w:space="0" w:color="auto"/>
        </w:pBdr>
        <w:spacing w:line="360" w:lineRule="auto"/>
        <w:jc w:val="both"/>
        <w:rPr>
          <w:rFonts w:ascii="Times New Roman" w:hAnsi="Times New Roman"/>
          <w:sz w:val="24"/>
          <w:szCs w:val="24"/>
        </w:rPr>
      </w:pPr>
    </w:p>
    <w:p w14:paraId="6ED7A320" w14:textId="77777777" w:rsidR="00A31542" w:rsidRDefault="00235340" w:rsidP="00044937">
      <w:pPr>
        <w:pStyle w:val="a"/>
        <w:pBdr>
          <w:top w:val="none" w:sz="0" w:space="0" w:color="auto"/>
        </w:pBd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Η παρούσα ενότητα ξεκινάει με τρεις παραδοχές που συστήνουν τα βασικά σημεία αναφοράς </w:t>
      </w:r>
      <w:r w:rsidR="00C75378">
        <w:rPr>
          <w:rFonts w:ascii="Times New Roman" w:hAnsi="Times New Roman"/>
          <w:sz w:val="24"/>
          <w:szCs w:val="24"/>
        </w:rPr>
        <w:t xml:space="preserve">σχετικά </w:t>
      </w:r>
      <w:r>
        <w:rPr>
          <w:rFonts w:ascii="Times New Roman" w:hAnsi="Times New Roman"/>
          <w:sz w:val="24"/>
          <w:szCs w:val="24"/>
        </w:rPr>
        <w:t xml:space="preserve">με την εκπαίδευση. Η πρώτη παραδοχή είναι ότι όλοι οι άνθρωποι είμαστε μαθητευόμενοι. Η δεύτερη παραδοχή είναι ότι τα εκπαιδευτικά ζητήματα </w:t>
      </w:r>
      <w:r w:rsidR="00A31542">
        <w:rPr>
          <w:rFonts w:ascii="Times New Roman" w:hAnsi="Times New Roman"/>
          <w:sz w:val="24"/>
          <w:szCs w:val="24"/>
        </w:rPr>
        <w:t xml:space="preserve">είναι ‘επίμαχα’ και </w:t>
      </w:r>
      <w:r>
        <w:rPr>
          <w:rFonts w:ascii="Times New Roman" w:hAnsi="Times New Roman"/>
          <w:sz w:val="24"/>
          <w:szCs w:val="24"/>
        </w:rPr>
        <w:t xml:space="preserve">περίπλοκα και </w:t>
      </w:r>
      <w:r w:rsidR="00A31542">
        <w:rPr>
          <w:rFonts w:ascii="Times New Roman" w:hAnsi="Times New Roman"/>
          <w:sz w:val="24"/>
          <w:szCs w:val="24"/>
        </w:rPr>
        <w:t xml:space="preserve">ως εκ τούτου </w:t>
      </w:r>
      <w:r>
        <w:rPr>
          <w:rFonts w:ascii="Times New Roman" w:hAnsi="Times New Roman"/>
          <w:sz w:val="24"/>
          <w:szCs w:val="24"/>
        </w:rPr>
        <w:t xml:space="preserve">δεν επιδέχονται </w:t>
      </w:r>
      <w:r w:rsidR="00166CFB">
        <w:rPr>
          <w:rFonts w:ascii="Times New Roman" w:hAnsi="Times New Roman"/>
          <w:sz w:val="24"/>
          <w:szCs w:val="24"/>
        </w:rPr>
        <w:t xml:space="preserve">εύκολες </w:t>
      </w:r>
      <w:r>
        <w:rPr>
          <w:rFonts w:ascii="Times New Roman" w:hAnsi="Times New Roman"/>
          <w:sz w:val="24"/>
          <w:szCs w:val="24"/>
        </w:rPr>
        <w:t>λύσεις</w:t>
      </w:r>
      <w:r w:rsidR="00A31542">
        <w:rPr>
          <w:rFonts w:ascii="Times New Roman" w:hAnsi="Times New Roman"/>
          <w:sz w:val="24"/>
          <w:szCs w:val="24"/>
        </w:rPr>
        <w:t xml:space="preserve"> (τρίτη παραδοχή).</w:t>
      </w:r>
      <w:r>
        <w:rPr>
          <w:rFonts w:ascii="Times New Roman" w:eastAsia="Times New Roman" w:hAnsi="Times New Roman" w:cs="Times New Roman"/>
          <w:sz w:val="24"/>
          <w:szCs w:val="24"/>
        </w:rPr>
        <w:tab/>
      </w:r>
    </w:p>
    <w:p w14:paraId="6199EC0C" w14:textId="77777777" w:rsidR="00166CFB" w:rsidRDefault="00235340" w:rsidP="00044937">
      <w:pPr>
        <w:pStyle w:val="a"/>
        <w:pBdr>
          <w:top w:val="none" w:sz="0" w:space="0" w:color="auto"/>
        </w:pBdr>
        <w:spacing w:line="360" w:lineRule="auto"/>
        <w:ind w:firstLine="720"/>
        <w:jc w:val="both"/>
        <w:rPr>
          <w:rFonts w:ascii="Times New Roman" w:hAnsi="Times New Roman"/>
          <w:sz w:val="24"/>
          <w:szCs w:val="24"/>
        </w:rPr>
      </w:pPr>
      <w:r>
        <w:rPr>
          <w:rFonts w:ascii="Times New Roman" w:eastAsia="Times New Roman" w:hAnsi="Times New Roman" w:cs="Times New Roman"/>
          <w:sz w:val="24"/>
          <w:szCs w:val="24"/>
        </w:rPr>
        <w:t xml:space="preserve">Όταν ο φακός της ανάλυσης εστιάζεται στην εκπαίδευση </w:t>
      </w:r>
      <w:r w:rsidRPr="00044937">
        <w:rPr>
          <w:rFonts w:ascii="Times New Roman" w:eastAsia="Times New Roman" w:hAnsi="Times New Roman" w:cs="Times New Roman"/>
          <w:sz w:val="24"/>
          <w:szCs w:val="24"/>
        </w:rPr>
        <w:t>των παιδιών με αναπηρία</w:t>
      </w:r>
      <w:r w:rsidRPr="00044937">
        <w:rPr>
          <w:rFonts w:ascii="Times New Roman" w:hAnsi="Times New Roman"/>
          <w:sz w:val="24"/>
          <w:szCs w:val="24"/>
        </w:rPr>
        <w:t>,</w:t>
      </w:r>
      <w:r>
        <w:rPr>
          <w:rFonts w:ascii="Times New Roman" w:hAnsi="Times New Roman"/>
          <w:sz w:val="24"/>
          <w:szCs w:val="24"/>
        </w:rPr>
        <w:t xml:space="preserve"> </w:t>
      </w:r>
      <w:r w:rsidR="00166CFB">
        <w:rPr>
          <w:rFonts w:ascii="Times New Roman" w:hAnsi="Times New Roman"/>
          <w:sz w:val="24"/>
          <w:szCs w:val="24"/>
        </w:rPr>
        <w:t>οι παραπάνω παραδοχές</w:t>
      </w:r>
      <w:r>
        <w:rPr>
          <w:rFonts w:ascii="Times New Roman" w:hAnsi="Times New Roman"/>
          <w:sz w:val="24"/>
          <w:szCs w:val="24"/>
        </w:rPr>
        <w:t xml:space="preserve"> συμπληρών</w:t>
      </w:r>
      <w:r w:rsidR="00166CFB">
        <w:rPr>
          <w:rFonts w:ascii="Times New Roman" w:hAnsi="Times New Roman"/>
          <w:sz w:val="24"/>
          <w:szCs w:val="24"/>
        </w:rPr>
        <w:t>ον</w:t>
      </w:r>
      <w:r>
        <w:rPr>
          <w:rFonts w:ascii="Times New Roman" w:hAnsi="Times New Roman"/>
          <w:sz w:val="24"/>
          <w:szCs w:val="24"/>
        </w:rPr>
        <w:t xml:space="preserve">ται με επιπλέον </w:t>
      </w:r>
      <w:r w:rsidR="00166CFB">
        <w:rPr>
          <w:rFonts w:ascii="Times New Roman" w:hAnsi="Times New Roman"/>
          <w:sz w:val="24"/>
          <w:szCs w:val="24"/>
        </w:rPr>
        <w:t>ζητήματα τα οποία αποτελούν –</w:t>
      </w:r>
      <w:r w:rsidR="00166CFB" w:rsidRPr="000E574C">
        <w:rPr>
          <w:rFonts w:ascii="Times New Roman" w:hAnsi="Times New Roman"/>
          <w:i/>
          <w:sz w:val="24"/>
          <w:szCs w:val="24"/>
        </w:rPr>
        <w:t xml:space="preserve">λόγω </w:t>
      </w:r>
      <w:r w:rsidRPr="000E574C">
        <w:rPr>
          <w:rFonts w:ascii="Times New Roman" w:hAnsi="Times New Roman"/>
          <w:i/>
          <w:sz w:val="24"/>
          <w:szCs w:val="24"/>
        </w:rPr>
        <w:t xml:space="preserve">της συχνότητας και της έντασης </w:t>
      </w:r>
      <w:r w:rsidR="00166CFB" w:rsidRPr="000E574C">
        <w:rPr>
          <w:rFonts w:ascii="Times New Roman" w:hAnsi="Times New Roman"/>
          <w:i/>
          <w:sz w:val="24"/>
          <w:szCs w:val="24"/>
        </w:rPr>
        <w:t xml:space="preserve">τους </w:t>
      </w:r>
      <w:r w:rsidR="00166CFB">
        <w:rPr>
          <w:rFonts w:ascii="Times New Roman" w:hAnsi="Times New Roman"/>
          <w:sz w:val="24"/>
          <w:szCs w:val="24"/>
        </w:rPr>
        <w:t xml:space="preserve">– κεντρικές διαπιστώσεις. Για παράδειγμα, έχει διαπιστωθεί </w:t>
      </w:r>
      <w:r>
        <w:rPr>
          <w:rFonts w:ascii="Times New Roman" w:hAnsi="Times New Roman"/>
          <w:sz w:val="24"/>
          <w:szCs w:val="24"/>
        </w:rPr>
        <w:t>ότι</w:t>
      </w:r>
      <w:r w:rsidR="00166CFB" w:rsidRPr="00166CFB">
        <w:rPr>
          <w:rFonts w:ascii="Times New Roman" w:hAnsi="Times New Roman"/>
          <w:sz w:val="24"/>
          <w:szCs w:val="24"/>
        </w:rPr>
        <w:t>:</w:t>
      </w:r>
      <w:r>
        <w:rPr>
          <w:rFonts w:ascii="Times New Roman" w:hAnsi="Times New Roman"/>
          <w:sz w:val="24"/>
          <w:szCs w:val="24"/>
        </w:rPr>
        <w:t xml:space="preserve"> </w:t>
      </w:r>
    </w:p>
    <w:p w14:paraId="69017813" w14:textId="77777777" w:rsidR="00166CFB" w:rsidRDefault="00166CFB" w:rsidP="00044937">
      <w:pPr>
        <w:pStyle w:val="a"/>
        <w:pBdr>
          <w:top w:val="none" w:sz="0" w:space="0" w:color="auto"/>
        </w:pBdr>
        <w:spacing w:line="360" w:lineRule="auto"/>
        <w:jc w:val="both"/>
        <w:rPr>
          <w:rFonts w:ascii="Times New Roman" w:hAnsi="Times New Roman"/>
          <w:sz w:val="24"/>
          <w:szCs w:val="24"/>
        </w:rPr>
      </w:pPr>
      <w:r>
        <w:rPr>
          <w:rFonts w:ascii="Times New Roman" w:hAnsi="Times New Roman"/>
          <w:sz w:val="24"/>
          <w:szCs w:val="24"/>
        </w:rPr>
        <w:t>α</w:t>
      </w:r>
      <w:r w:rsidRPr="00166CFB">
        <w:rPr>
          <w:rFonts w:ascii="Times New Roman" w:hAnsi="Times New Roman"/>
          <w:sz w:val="24"/>
          <w:szCs w:val="24"/>
        </w:rPr>
        <w:t xml:space="preserve">. </w:t>
      </w:r>
      <w:r w:rsidR="00235340">
        <w:rPr>
          <w:rFonts w:ascii="Times New Roman" w:hAnsi="Times New Roman"/>
          <w:sz w:val="24"/>
          <w:szCs w:val="24"/>
        </w:rPr>
        <w:t>πολλά παιδιά με αναπηρία -ανεξάρτητα από το είδος της- έχουν αποκλειστεί και εξακολουθούν να αποκλείονται από τη γενική εκπαίδευση</w:t>
      </w:r>
      <w:r>
        <w:rPr>
          <w:rFonts w:ascii="Times New Roman" w:hAnsi="Times New Roman"/>
          <w:sz w:val="24"/>
          <w:szCs w:val="24"/>
        </w:rPr>
        <w:t>,</w:t>
      </w:r>
    </w:p>
    <w:p w14:paraId="78686A6F" w14:textId="77777777" w:rsidR="00166CFB" w:rsidRDefault="00166CFB" w:rsidP="00044937">
      <w:pPr>
        <w:pStyle w:val="a"/>
        <w:pBdr>
          <w:top w:val="none" w:sz="0" w:space="0" w:color="auto"/>
        </w:pBdr>
        <w:spacing w:line="360" w:lineRule="auto"/>
        <w:jc w:val="both"/>
        <w:rPr>
          <w:rFonts w:ascii="Times New Roman" w:hAnsi="Times New Roman"/>
          <w:sz w:val="24"/>
          <w:szCs w:val="24"/>
        </w:rPr>
      </w:pPr>
      <w:r>
        <w:rPr>
          <w:rFonts w:ascii="Times New Roman" w:hAnsi="Times New Roman"/>
          <w:sz w:val="24"/>
          <w:szCs w:val="24"/>
        </w:rPr>
        <w:t xml:space="preserve">β. αρκετά </w:t>
      </w:r>
      <w:r w:rsidR="00235340">
        <w:rPr>
          <w:rFonts w:ascii="Times New Roman" w:hAnsi="Times New Roman"/>
          <w:sz w:val="24"/>
          <w:szCs w:val="24"/>
        </w:rPr>
        <w:t>παιδιά με αναπηρία που έχουν πρόσβαση στα δημόσια σχολεία -γενικά ή/και ειδικά- λαμβάνουν χαμηλής ποιότητας εκπαίδευση</w:t>
      </w:r>
      <w:r>
        <w:rPr>
          <w:rFonts w:ascii="Times New Roman" w:hAnsi="Times New Roman"/>
          <w:sz w:val="24"/>
          <w:szCs w:val="24"/>
        </w:rPr>
        <w:t xml:space="preserve"> ή/και ακατάλληλη εκπαίδευση</w:t>
      </w:r>
      <w:r w:rsidR="00044937">
        <w:rPr>
          <w:rFonts w:ascii="Times New Roman" w:hAnsi="Times New Roman"/>
          <w:sz w:val="24"/>
          <w:szCs w:val="24"/>
        </w:rPr>
        <w:t>,</w:t>
      </w:r>
      <w:r w:rsidR="00235340">
        <w:rPr>
          <w:rFonts w:ascii="Times New Roman" w:hAnsi="Times New Roman"/>
          <w:sz w:val="24"/>
          <w:szCs w:val="24"/>
        </w:rPr>
        <w:t xml:space="preserve"> </w:t>
      </w:r>
    </w:p>
    <w:p w14:paraId="58C815FD" w14:textId="77777777" w:rsidR="00035044" w:rsidRDefault="00166CFB" w:rsidP="00044937">
      <w:pPr>
        <w:pStyle w:val="a"/>
        <w:pBdr>
          <w:top w:val="none" w:sz="0" w:space="0" w:color="auto"/>
        </w:pBdr>
        <w:spacing w:line="360" w:lineRule="auto"/>
        <w:jc w:val="both"/>
        <w:rPr>
          <w:rFonts w:ascii="Times New Roman" w:eastAsia="Times New Roman" w:hAnsi="Times New Roman" w:cs="Times New Roman"/>
          <w:sz w:val="24"/>
          <w:szCs w:val="24"/>
        </w:rPr>
      </w:pPr>
      <w:r>
        <w:rPr>
          <w:rFonts w:ascii="Times New Roman" w:hAnsi="Times New Roman"/>
          <w:sz w:val="24"/>
          <w:szCs w:val="24"/>
        </w:rPr>
        <w:t>γ. σ</w:t>
      </w:r>
      <w:r w:rsidR="00235340">
        <w:rPr>
          <w:rFonts w:ascii="Times New Roman" w:hAnsi="Times New Roman"/>
          <w:sz w:val="24"/>
          <w:szCs w:val="24"/>
        </w:rPr>
        <w:t xml:space="preserve">τις περιπτώσεις, μάλιστα, που τα παιδιά με αναπηρία φοιτούν σε γενικά δημόσια σχολεία -ανεξάρτητα από το βαθμό της ένταξης που επικρατεί- θα πρέπει να αποδεικνύουν ότι μπορούν να ωφεληθούν από την γενική εκπαίδευση, πριν ακόμη εκπαιδευτούν σε αυτήν. </w:t>
      </w:r>
    </w:p>
    <w:p w14:paraId="0F0079E2" w14:textId="77777777" w:rsidR="000E574C" w:rsidRPr="00044937" w:rsidRDefault="00235340" w:rsidP="00044937">
      <w:pPr>
        <w:pStyle w:val="a"/>
        <w:pBdr>
          <w:top w:val="none" w:sz="0" w:space="0" w:color="auto"/>
        </w:pBd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0E574C" w:rsidRPr="000E574C">
        <w:rPr>
          <w:rFonts w:ascii="Times New Roman" w:eastAsia="Times New Roman" w:hAnsi="Times New Roman" w:cs="Times New Roman"/>
          <w:sz w:val="24"/>
          <w:szCs w:val="24"/>
        </w:rPr>
        <w:t>Από μελέτες που έχουν γίνει σχετικά με τα κριτήρια επιλογής εκπαιδευτικού πλαισίου φαίνεται ότι τα  παιδιά με αναπηρία διαχωρίζονται μερικώς ή ολοσχερώς με το πρόσχημα</w:t>
      </w:r>
      <w:r w:rsidR="000E574C" w:rsidRPr="000E574C">
        <w:rPr>
          <w:rFonts w:ascii="Times New Roman" w:eastAsia="Times New Roman" w:hAnsi="Times New Roman" w:cs="Times New Roman"/>
          <w:b/>
          <w:sz w:val="24"/>
          <w:szCs w:val="24"/>
        </w:rPr>
        <w:t xml:space="preserve"> </w:t>
      </w:r>
      <w:r>
        <w:rPr>
          <w:rFonts w:ascii="Times New Roman" w:hAnsi="Times New Roman"/>
          <w:sz w:val="24"/>
          <w:szCs w:val="24"/>
        </w:rPr>
        <w:t>ότι θα πρέπει να προστατευτούν από τη σκληρή πραγματικότητα της γενικής εκπαίδευσης: δηλαδή</w:t>
      </w:r>
      <w:r w:rsidR="00435E39">
        <w:rPr>
          <w:rFonts w:ascii="Times New Roman" w:hAnsi="Times New Roman"/>
          <w:sz w:val="24"/>
          <w:szCs w:val="24"/>
        </w:rPr>
        <w:t>,</w:t>
      </w:r>
      <w:r>
        <w:rPr>
          <w:rFonts w:ascii="Times New Roman" w:hAnsi="Times New Roman"/>
          <w:sz w:val="24"/>
          <w:szCs w:val="24"/>
        </w:rPr>
        <w:t xml:space="preserve"> από τις </w:t>
      </w:r>
      <w:r w:rsidR="00435E39">
        <w:rPr>
          <w:rFonts w:ascii="Times New Roman" w:hAnsi="Times New Roman"/>
          <w:sz w:val="24"/>
          <w:szCs w:val="24"/>
        </w:rPr>
        <w:t xml:space="preserve">αρνητικές/εχθρικές </w:t>
      </w:r>
      <w:r>
        <w:rPr>
          <w:rFonts w:ascii="Times New Roman" w:hAnsi="Times New Roman"/>
          <w:sz w:val="24"/>
          <w:szCs w:val="24"/>
        </w:rPr>
        <w:t xml:space="preserve">στάσεις εκπαιδευτικών και συμμαθητών, από την λεκτική ή σωματική θυματοποίηση, από την έλλειψη πόρων, από τα περιορισμένα και περιοριστικά αναλυτικά προγράμματα </w:t>
      </w:r>
      <w:r w:rsidR="00435E39">
        <w:rPr>
          <w:rFonts w:ascii="Times New Roman" w:hAnsi="Times New Roman"/>
          <w:sz w:val="24"/>
          <w:szCs w:val="24"/>
        </w:rPr>
        <w:t xml:space="preserve">και </w:t>
      </w:r>
      <w:r>
        <w:rPr>
          <w:rFonts w:ascii="Times New Roman" w:hAnsi="Times New Roman"/>
          <w:sz w:val="24"/>
          <w:szCs w:val="24"/>
        </w:rPr>
        <w:t xml:space="preserve">από έναν </w:t>
      </w:r>
      <w:r w:rsidR="00435E39">
        <w:rPr>
          <w:rFonts w:ascii="Times New Roman" w:hAnsi="Times New Roman"/>
          <w:sz w:val="24"/>
          <w:szCs w:val="24"/>
        </w:rPr>
        <w:t xml:space="preserve">εν γένει </w:t>
      </w:r>
      <w:r>
        <w:rPr>
          <w:rFonts w:ascii="Times New Roman" w:hAnsi="Times New Roman"/>
          <w:sz w:val="24"/>
          <w:szCs w:val="24"/>
        </w:rPr>
        <w:t>αναπηρικό αρχιτεκτονικό σχεδιασμό.</w:t>
      </w:r>
      <w:r w:rsidRPr="00535AA5">
        <w:rPr>
          <w:rFonts w:ascii="Times New Roman" w:hAnsi="Times New Roman"/>
          <w:sz w:val="24"/>
          <w:szCs w:val="24"/>
        </w:rPr>
        <w:t xml:space="preserve"> </w:t>
      </w:r>
      <w:r w:rsidR="00435E39">
        <w:rPr>
          <w:rFonts w:ascii="Times New Roman" w:hAnsi="Times New Roman"/>
          <w:sz w:val="24"/>
          <w:szCs w:val="24"/>
        </w:rPr>
        <w:t>Ο</w:t>
      </w:r>
      <w:r>
        <w:rPr>
          <w:rFonts w:ascii="Times New Roman" w:hAnsi="Times New Roman"/>
          <w:sz w:val="24"/>
          <w:szCs w:val="24"/>
        </w:rPr>
        <w:t>ι αποφάσεις σε σχέση με την εκπαίδευση και την κατάταξη</w:t>
      </w:r>
      <w:r w:rsidR="00435E39">
        <w:rPr>
          <w:rFonts w:ascii="Times New Roman" w:hAnsi="Times New Roman"/>
          <w:sz w:val="24"/>
          <w:szCs w:val="24"/>
        </w:rPr>
        <w:t>/κατηγοριοποίηση</w:t>
      </w:r>
      <w:r>
        <w:rPr>
          <w:rFonts w:ascii="Times New Roman" w:hAnsi="Times New Roman"/>
          <w:sz w:val="24"/>
          <w:szCs w:val="24"/>
        </w:rPr>
        <w:t xml:space="preserve"> των παιδιών με αναπηρία είχαν ως αποτέλεσμα έναν περιθωριοποιημένο πληθυσμό που έχει υποστεί εγκλεισμό σε ιδρύματα, διαχωρισμό, ελλιπή εκπαίδευση, κοινωνική απόρριψη, φυσικό αποκλεισμό και, σύμφωνα με τα τελευταία στοιχεία της </w:t>
      </w:r>
      <w:proofErr w:type="spellStart"/>
      <w:r>
        <w:rPr>
          <w:rFonts w:ascii="Times New Roman" w:hAnsi="Times New Roman"/>
          <w:sz w:val="24"/>
          <w:szCs w:val="24"/>
        </w:rPr>
        <w:t>Eurostat</w:t>
      </w:r>
      <w:proofErr w:type="spellEnd"/>
      <w:r>
        <w:rPr>
          <w:rFonts w:ascii="Times New Roman" w:hAnsi="Times New Roman"/>
          <w:sz w:val="24"/>
          <w:szCs w:val="24"/>
        </w:rPr>
        <w:t xml:space="preserve">, </w:t>
      </w:r>
      <w:r w:rsidRPr="000E574C">
        <w:rPr>
          <w:rFonts w:ascii="Times New Roman" w:hAnsi="Times New Roman"/>
          <w:sz w:val="24"/>
          <w:szCs w:val="24"/>
        </w:rPr>
        <w:t>μακροχρόνια επίπεδα ανεργίας και φτώχειας.</w:t>
      </w:r>
      <w:r w:rsidR="000E574C">
        <w:rPr>
          <w:rFonts w:ascii="Times New Roman" w:hAnsi="Times New Roman"/>
          <w:sz w:val="24"/>
          <w:szCs w:val="24"/>
        </w:rPr>
        <w:t xml:space="preserve"> </w:t>
      </w:r>
      <w:r w:rsidR="000E574C" w:rsidRPr="004767E0">
        <w:rPr>
          <w:rFonts w:ascii="Times New Roman" w:hAnsi="Times New Roman" w:cs="Times New Roman"/>
          <w:sz w:val="24"/>
          <w:szCs w:val="24"/>
        </w:rPr>
        <w:t>Με λίγα λόγια φαίνεται</w:t>
      </w:r>
      <w:r w:rsidR="000E574C" w:rsidRPr="000E574C">
        <w:t xml:space="preserve"> </w:t>
      </w:r>
      <w:r w:rsidR="000E574C" w:rsidRPr="00044937">
        <w:rPr>
          <w:rFonts w:ascii="Times New Roman" w:hAnsi="Times New Roman" w:cs="Times New Roman"/>
          <w:sz w:val="24"/>
          <w:szCs w:val="24"/>
        </w:rPr>
        <w:t xml:space="preserve">πως  ο αποκλεισμός βρίσκεται παντού και υπάρχει για πολύ, πολύ καιρό. </w:t>
      </w:r>
    </w:p>
    <w:p w14:paraId="205086F4" w14:textId="77777777" w:rsidR="000E574C" w:rsidRPr="0075035A" w:rsidRDefault="000E574C" w:rsidP="00105DCD">
      <w:pPr>
        <w:pStyle w:val="a"/>
        <w:pBdr>
          <w:top w:val="none" w:sz="0" w:space="0" w:color="auto"/>
        </w:pBdr>
        <w:spacing w:line="360" w:lineRule="auto"/>
        <w:ind w:firstLine="720"/>
        <w:jc w:val="both"/>
        <w:rPr>
          <w:rFonts w:ascii="Times New Roman" w:hAnsi="Times New Roman" w:cs="Times New Roman"/>
          <w:sz w:val="24"/>
          <w:szCs w:val="24"/>
        </w:rPr>
      </w:pPr>
      <w:r w:rsidRPr="0075035A">
        <w:rPr>
          <w:sz w:val="24"/>
          <w:szCs w:val="24"/>
        </w:rPr>
        <w:t>Ως απάντηση στο θέμα του αποκλεισμού θέτουμε το ζήτημα της ένταξης.</w:t>
      </w:r>
      <w:r>
        <w:t xml:space="preserve"> </w:t>
      </w:r>
      <w:r w:rsidRPr="0075035A">
        <w:rPr>
          <w:rFonts w:ascii="Times New Roman" w:hAnsi="Times New Roman" w:cs="Times New Roman"/>
          <w:sz w:val="24"/>
          <w:szCs w:val="24"/>
        </w:rPr>
        <w:t xml:space="preserve">Η ανάλυση της ένταξης </w:t>
      </w:r>
      <w:r w:rsidR="008A48ED">
        <w:rPr>
          <w:rFonts w:ascii="Times New Roman" w:hAnsi="Times New Roman" w:cs="Times New Roman"/>
          <w:sz w:val="24"/>
          <w:szCs w:val="24"/>
        </w:rPr>
        <w:t xml:space="preserve">όμως </w:t>
      </w:r>
      <w:r w:rsidRPr="0075035A">
        <w:rPr>
          <w:rFonts w:ascii="Times New Roman" w:hAnsi="Times New Roman" w:cs="Times New Roman"/>
          <w:sz w:val="24"/>
          <w:szCs w:val="24"/>
        </w:rPr>
        <w:t xml:space="preserve">είναι πολύ πιο δύσκολη γιατί  η </w:t>
      </w:r>
      <w:r w:rsidRPr="0075035A">
        <w:rPr>
          <w:rFonts w:ascii="Times New Roman" w:hAnsi="Times New Roman" w:cs="Times New Roman"/>
          <w:bCs/>
          <w:sz w:val="24"/>
          <w:szCs w:val="24"/>
        </w:rPr>
        <w:t xml:space="preserve">ένταξη φέρνει στο προσκήνιο το ζήτημα της </w:t>
      </w:r>
      <w:r w:rsidRPr="0075035A">
        <w:rPr>
          <w:rFonts w:ascii="Times New Roman" w:hAnsi="Times New Roman" w:cs="Times New Roman"/>
          <w:bCs/>
          <w:sz w:val="24"/>
          <w:szCs w:val="24"/>
        </w:rPr>
        <w:lastRenderedPageBreak/>
        <w:t xml:space="preserve">αλλαγής. Η αλλαγή δεν αφορά στην αφομοίωση ή </w:t>
      </w:r>
      <w:r w:rsidR="00105DCD">
        <w:rPr>
          <w:rFonts w:ascii="Times New Roman" w:hAnsi="Times New Roman" w:cs="Times New Roman"/>
          <w:bCs/>
          <w:sz w:val="24"/>
          <w:szCs w:val="24"/>
        </w:rPr>
        <w:t>σ</w:t>
      </w:r>
      <w:r w:rsidRPr="0075035A">
        <w:rPr>
          <w:rFonts w:ascii="Times New Roman" w:hAnsi="Times New Roman" w:cs="Times New Roman"/>
          <w:bCs/>
          <w:sz w:val="24"/>
          <w:szCs w:val="24"/>
        </w:rPr>
        <w:t xml:space="preserve">την μονομερή ομαλοποίηση του παιδιού αλλά στο μετασχηματισμό των παραγόντων που εμποδίζουν την αλλαγή. Υπάρχουν δυο τέτοιοι παράγοντες: 1. ο τρόπος με τον οποίο προσεγγίζουμε την ένταξη,  </w:t>
      </w:r>
      <w:r w:rsidR="0075035A">
        <w:rPr>
          <w:rFonts w:ascii="Times New Roman" w:hAnsi="Times New Roman" w:cs="Times New Roman"/>
          <w:bCs/>
          <w:sz w:val="24"/>
          <w:szCs w:val="24"/>
        </w:rPr>
        <w:t>και</w:t>
      </w:r>
      <w:r w:rsidRPr="0075035A">
        <w:rPr>
          <w:rFonts w:ascii="Times New Roman" w:hAnsi="Times New Roman" w:cs="Times New Roman"/>
          <w:bCs/>
          <w:sz w:val="24"/>
          <w:szCs w:val="24"/>
        </w:rPr>
        <w:t xml:space="preserve"> 2. ο τρόπος με τον οποίο προσεγγίζουμε την αναπηρία. Όσον αφορά στο σχολείο, η ένταξη προϋποθέτει την αλλαγή του μαθησιακού περιβάλλοντος του παιδιού αφού γνωρίζουμε ότι το περιβάλλον είναι εκείνο το οποίο μετατρέπει και διαφοροποιεί την πορεία της </w:t>
      </w:r>
      <w:r w:rsidRPr="00105DCD">
        <w:rPr>
          <w:rFonts w:ascii="Times New Roman" w:hAnsi="Times New Roman" w:cs="Times New Roman"/>
          <w:bCs/>
          <w:sz w:val="24"/>
          <w:szCs w:val="24"/>
        </w:rPr>
        <w:t xml:space="preserve">αναπηρίας και την οδηγεί σε μία </w:t>
      </w:r>
      <w:r w:rsidR="00105DCD">
        <w:rPr>
          <w:rFonts w:ascii="Times New Roman" w:hAnsi="Times New Roman" w:cs="Times New Roman"/>
          <w:bCs/>
          <w:sz w:val="24"/>
          <w:szCs w:val="24"/>
        </w:rPr>
        <w:t>‘</w:t>
      </w:r>
      <w:r w:rsidRPr="00105DCD">
        <w:rPr>
          <w:rFonts w:ascii="Times New Roman" w:hAnsi="Times New Roman" w:cs="Times New Roman"/>
          <w:bCs/>
          <w:sz w:val="24"/>
          <w:szCs w:val="24"/>
        </w:rPr>
        <w:t>ελλιπή/ελλειμματική</w:t>
      </w:r>
      <w:r w:rsidR="00105DCD">
        <w:rPr>
          <w:rFonts w:ascii="Times New Roman" w:hAnsi="Times New Roman" w:cs="Times New Roman"/>
          <w:bCs/>
          <w:sz w:val="24"/>
          <w:szCs w:val="24"/>
        </w:rPr>
        <w:t>’</w:t>
      </w:r>
      <w:r w:rsidRPr="00105DCD">
        <w:rPr>
          <w:rFonts w:ascii="Times New Roman" w:hAnsi="Times New Roman" w:cs="Times New Roman"/>
          <w:bCs/>
          <w:sz w:val="24"/>
          <w:szCs w:val="24"/>
        </w:rPr>
        <w:t xml:space="preserve"> ανάπτυξη. Δεν είναι τυχαίο ότι </w:t>
      </w:r>
      <w:r w:rsidRPr="00105DCD">
        <w:rPr>
          <w:rFonts w:ascii="Times New Roman" w:hAnsi="Times New Roman" w:cs="Times New Roman"/>
          <w:sz w:val="24"/>
          <w:szCs w:val="24"/>
        </w:rPr>
        <w:t>η ένταξη των γυναικών στην εκπαίδευση προϋπέθεσε τη μείωση πρακτικών σεξισμού,  η ένταξη των μεταναστών προϋπέθεσε/προϋποθέτει  τη μείωση πρακτικών</w:t>
      </w:r>
      <w:r w:rsidRPr="0075035A">
        <w:rPr>
          <w:rFonts w:ascii="Times New Roman" w:hAnsi="Times New Roman" w:cs="Times New Roman"/>
          <w:b/>
          <w:sz w:val="24"/>
          <w:szCs w:val="24"/>
        </w:rPr>
        <w:t xml:space="preserve">  </w:t>
      </w:r>
      <w:r w:rsidRPr="00105DCD">
        <w:rPr>
          <w:rFonts w:ascii="Times New Roman" w:hAnsi="Times New Roman" w:cs="Times New Roman"/>
          <w:sz w:val="24"/>
          <w:szCs w:val="24"/>
        </w:rPr>
        <w:t>ρατσισμού</w:t>
      </w:r>
      <w:r w:rsidR="00C02960" w:rsidRPr="00105DCD">
        <w:rPr>
          <w:rFonts w:ascii="Times New Roman" w:hAnsi="Times New Roman" w:cs="Times New Roman"/>
          <w:sz w:val="24"/>
          <w:szCs w:val="24"/>
        </w:rPr>
        <w:t xml:space="preserve"> κ</w:t>
      </w:r>
      <w:r w:rsidRPr="00105DCD">
        <w:rPr>
          <w:rFonts w:ascii="Times New Roman" w:hAnsi="Times New Roman" w:cs="Times New Roman"/>
          <w:sz w:val="24"/>
          <w:szCs w:val="24"/>
        </w:rPr>
        <w:t>ατά αντιστοιχία, θα έπρεπε και για την ένταξη των αναπήρων στην εκπαίδευση να αναγνωριστεί η</w:t>
      </w:r>
      <w:r w:rsidRPr="0075035A">
        <w:rPr>
          <w:rFonts w:ascii="Times New Roman" w:hAnsi="Times New Roman" w:cs="Times New Roman"/>
          <w:sz w:val="24"/>
          <w:szCs w:val="24"/>
        </w:rPr>
        <w:t xml:space="preserve"> ανάγκη μείωσης των πρακτικών μισαναπηρισμού, όλες δηλαδή οι πρακτικές που εμποδίζουν το άτομο από την πρόσβαση και τη συμμετοχή του στα δρώμενα του σχολείου.</w:t>
      </w:r>
      <w:r w:rsidR="00C02960" w:rsidRPr="0075035A">
        <w:rPr>
          <w:rFonts w:ascii="Times New Roman" w:hAnsi="Times New Roman" w:cs="Times New Roman"/>
          <w:sz w:val="24"/>
          <w:szCs w:val="24"/>
        </w:rPr>
        <w:t xml:space="preserve"> </w:t>
      </w:r>
      <w:r w:rsidRPr="0075035A">
        <w:rPr>
          <w:rFonts w:ascii="Times New Roman" w:hAnsi="Times New Roman" w:cs="Times New Roman"/>
          <w:sz w:val="24"/>
          <w:szCs w:val="24"/>
        </w:rPr>
        <w:t>Αντ’ αυτού, στην περίπτωση της αναπηρίας</w:t>
      </w:r>
      <w:r w:rsidR="00C02960" w:rsidRPr="0075035A">
        <w:rPr>
          <w:rFonts w:ascii="Times New Roman" w:hAnsi="Times New Roman" w:cs="Times New Roman"/>
          <w:sz w:val="24"/>
          <w:szCs w:val="24"/>
        </w:rPr>
        <w:t>,</w:t>
      </w:r>
      <w:r w:rsidRPr="0075035A">
        <w:rPr>
          <w:rFonts w:ascii="Times New Roman" w:hAnsi="Times New Roman" w:cs="Times New Roman"/>
          <w:sz w:val="24"/>
          <w:szCs w:val="24"/>
        </w:rPr>
        <w:t xml:space="preserve"> κάθε εκπαιδευτική και κοινωνική ανισότητα αυτόματα νομιμοποιείται και διαιωνίζεται στη βάση της βιολογικής ανισότητας.</w:t>
      </w:r>
      <w:r w:rsidR="00105DCD">
        <w:rPr>
          <w:rFonts w:ascii="Times New Roman" w:hAnsi="Times New Roman" w:cs="Times New Roman"/>
          <w:sz w:val="24"/>
          <w:szCs w:val="24"/>
        </w:rPr>
        <w:t xml:space="preserve"> </w:t>
      </w:r>
      <w:r w:rsidRPr="0075035A">
        <w:rPr>
          <w:rFonts w:ascii="Times New Roman" w:hAnsi="Times New Roman" w:cs="Times New Roman"/>
          <w:sz w:val="24"/>
          <w:szCs w:val="24"/>
        </w:rPr>
        <w:t>Παράδειγμα: όταν κάποιος ρωτήσει γιατί ο Γιάννης (</w:t>
      </w:r>
      <w:r w:rsidRPr="0075035A">
        <w:rPr>
          <w:rFonts w:ascii="Times New Roman" w:hAnsi="Times New Roman" w:cs="Times New Roman"/>
          <w:i/>
          <w:sz w:val="24"/>
          <w:szCs w:val="24"/>
        </w:rPr>
        <w:t>μαθητής με αναπηρία βρίσκεται σε ειδικό σχολείο</w:t>
      </w:r>
      <w:r w:rsidRPr="0075035A">
        <w:rPr>
          <w:rFonts w:ascii="Times New Roman" w:hAnsi="Times New Roman" w:cs="Times New Roman"/>
          <w:sz w:val="24"/>
          <w:szCs w:val="24"/>
        </w:rPr>
        <w:t xml:space="preserve">) οι περισσότεροι πολύ γρήγορα και χωρίς να το πολυσκεφτούν -σαν να είναι κάτι δεδομένο, φυσικό  και αυτονόητο-  θα πουν «Μα γιατί ο Γιάννης είναι ανάπηρος». </w:t>
      </w:r>
      <w:r w:rsidR="00C02960" w:rsidRPr="0075035A">
        <w:rPr>
          <w:rFonts w:ascii="Times New Roman" w:hAnsi="Times New Roman" w:cs="Times New Roman"/>
          <w:sz w:val="24"/>
          <w:szCs w:val="24"/>
        </w:rPr>
        <w:t xml:space="preserve"> </w:t>
      </w:r>
      <w:r w:rsidRPr="0075035A">
        <w:rPr>
          <w:rFonts w:ascii="Times New Roman" w:hAnsi="Times New Roman" w:cs="Times New Roman"/>
          <w:sz w:val="24"/>
          <w:szCs w:val="24"/>
        </w:rPr>
        <w:t xml:space="preserve">Όχι, ο Γιάννης δεν πάει στο ειδικό σχολείο μόνον λόγω της βλάβης/δυσλειτουργίας του. Πηγαίνει στο ειδικό σχολείο διότι το σχολείο της γειτονιάς του είναι ελλειμματικό και αδυνατεί να ανταποκριθεί στις ανάγκες του. Όμως πολύ γρήγορα προσάπτουμε την ανεπάρκεια του συστήματος στον μαθητή κι έτσι δημιουργούμε αυτό που ονομάζουμε </w:t>
      </w:r>
      <w:r w:rsidR="00105DCD">
        <w:rPr>
          <w:rFonts w:ascii="Times New Roman" w:hAnsi="Times New Roman" w:cs="Times New Roman"/>
          <w:sz w:val="24"/>
          <w:szCs w:val="24"/>
        </w:rPr>
        <w:t>‘</w:t>
      </w:r>
      <w:r w:rsidRPr="0075035A">
        <w:rPr>
          <w:rFonts w:ascii="Times New Roman" w:hAnsi="Times New Roman" w:cs="Times New Roman"/>
          <w:sz w:val="24"/>
          <w:szCs w:val="24"/>
        </w:rPr>
        <w:t>δευτερογενή αναπηρία</w:t>
      </w:r>
      <w:r w:rsidR="00105DCD">
        <w:rPr>
          <w:rFonts w:ascii="Times New Roman" w:hAnsi="Times New Roman" w:cs="Times New Roman"/>
          <w:sz w:val="24"/>
          <w:szCs w:val="24"/>
        </w:rPr>
        <w:t>’</w:t>
      </w:r>
      <w:r w:rsidRPr="0075035A">
        <w:rPr>
          <w:rFonts w:ascii="Times New Roman" w:hAnsi="Times New Roman" w:cs="Times New Roman"/>
          <w:sz w:val="24"/>
          <w:szCs w:val="24"/>
        </w:rPr>
        <w:t>.</w:t>
      </w:r>
      <w:r w:rsidR="00C02960" w:rsidRPr="0075035A">
        <w:rPr>
          <w:rFonts w:ascii="Times New Roman" w:hAnsi="Times New Roman" w:cs="Times New Roman"/>
          <w:sz w:val="24"/>
          <w:szCs w:val="24"/>
        </w:rPr>
        <w:t xml:space="preserve"> </w:t>
      </w:r>
      <w:r w:rsidRPr="0075035A">
        <w:rPr>
          <w:rFonts w:ascii="Times New Roman" w:hAnsi="Times New Roman" w:cs="Times New Roman"/>
          <w:sz w:val="24"/>
          <w:szCs w:val="24"/>
        </w:rPr>
        <w:t xml:space="preserve">Αυτή η κοινωνική στάση  προκαλεί αντίξοες και συχνά «εχθρικές» συνθήκες, οι οποίες επηρεάζουν την όλη αναπτυξιακή διαδικασία και οδηγούν αναπόφευκτα σε διαταραχές ή καθυστέρηση, δηλαδή σε ελλειμματική (ανάπηρη) ανάπτυξη. Πολλά συμπτώματα ή ανάπηρες καταστάσεις (π.χ. νηπιακή συμπεριφορά, συναισθηματικές εκρήξεις) αποτελούν δευτερογενή προβλήματα και εντάσσονται σε αυτό που ονομάζουμε δευτερογενή αναπηρία. </w:t>
      </w:r>
    </w:p>
    <w:p w14:paraId="4C560CCA" w14:textId="77777777" w:rsidR="000E574C" w:rsidRPr="0075035A" w:rsidRDefault="000E574C" w:rsidP="00105DCD">
      <w:pPr>
        <w:pStyle w:val="a"/>
        <w:spacing w:line="360" w:lineRule="auto"/>
        <w:ind w:firstLine="720"/>
        <w:jc w:val="both"/>
        <w:rPr>
          <w:rFonts w:ascii="Times New Roman" w:hAnsi="Times New Roman" w:cs="Times New Roman"/>
          <w:sz w:val="24"/>
          <w:szCs w:val="24"/>
        </w:rPr>
      </w:pPr>
      <w:r w:rsidRPr="0075035A">
        <w:rPr>
          <w:rFonts w:ascii="Times New Roman" w:hAnsi="Times New Roman" w:cs="Times New Roman"/>
          <w:sz w:val="24"/>
          <w:szCs w:val="24"/>
        </w:rPr>
        <w:t xml:space="preserve">Παρα την παραπάνω διαπίστωση, ακόμα και σήμερα, τόσο στα σχολεία όσο και στη νομοθεσία αγνοείται, συστηματικά και πεισματικά η διάκριση μεταξύ της βλάβης (και των περιορισμών που τίθενται από τη βλάβη) και της αναπηρίας (και των περιορισμών που τίθενται από τον τρόπο με τον οποίο ένα σύστημα ή μια κοινωνία ανταποκρίνεται σε ένα άτομο με βλάβη). Επομένως, δεν μπορούμε να προχωρήσουμε με ουσιαστικό τρόπο </w:t>
      </w:r>
      <w:r w:rsidR="00105DCD">
        <w:rPr>
          <w:rFonts w:ascii="Times New Roman" w:hAnsi="Times New Roman" w:cs="Times New Roman"/>
          <w:sz w:val="24"/>
          <w:szCs w:val="24"/>
        </w:rPr>
        <w:t xml:space="preserve">προς την εφαρμογή ενταξιακών περιβαλλόντων μάθησης </w:t>
      </w:r>
      <w:r w:rsidRPr="0075035A">
        <w:rPr>
          <w:rFonts w:ascii="Times New Roman" w:hAnsi="Times New Roman" w:cs="Times New Roman"/>
          <w:sz w:val="24"/>
          <w:szCs w:val="24"/>
        </w:rPr>
        <w:t>εάν δεν κατανοήσουμε</w:t>
      </w:r>
      <w:r w:rsidR="00C02960" w:rsidRPr="0075035A">
        <w:rPr>
          <w:rFonts w:ascii="Times New Roman" w:hAnsi="Times New Roman" w:cs="Times New Roman"/>
          <w:sz w:val="24"/>
          <w:szCs w:val="24"/>
        </w:rPr>
        <w:t xml:space="preserve"> πως </w:t>
      </w:r>
      <w:r w:rsidRPr="0075035A">
        <w:rPr>
          <w:rFonts w:ascii="Times New Roman" w:hAnsi="Times New Roman" w:cs="Times New Roman"/>
          <w:sz w:val="24"/>
          <w:szCs w:val="24"/>
        </w:rPr>
        <w:t>είναι άλλο η βλάβη και άλλο η αναπηρία</w:t>
      </w:r>
      <w:r w:rsidR="00C02960" w:rsidRPr="0075035A">
        <w:rPr>
          <w:rFonts w:ascii="Times New Roman" w:hAnsi="Times New Roman" w:cs="Times New Roman"/>
          <w:sz w:val="24"/>
          <w:szCs w:val="24"/>
        </w:rPr>
        <w:t xml:space="preserve"> και </w:t>
      </w:r>
      <w:r w:rsidR="00C02960" w:rsidRPr="00105DCD">
        <w:rPr>
          <w:rFonts w:ascii="Times New Roman" w:hAnsi="Times New Roman" w:cs="Times New Roman"/>
          <w:sz w:val="24"/>
          <w:szCs w:val="24"/>
        </w:rPr>
        <w:t xml:space="preserve">πως </w:t>
      </w:r>
      <w:r w:rsidRPr="00105DCD">
        <w:rPr>
          <w:rFonts w:ascii="Times New Roman" w:hAnsi="Times New Roman" w:cs="Times New Roman"/>
          <w:sz w:val="24"/>
          <w:szCs w:val="24"/>
        </w:rPr>
        <w:t xml:space="preserve">η ομαλοποίηση και διόρθωση της </w:t>
      </w:r>
      <w:r w:rsidR="00105DCD">
        <w:rPr>
          <w:rFonts w:ascii="Times New Roman" w:hAnsi="Times New Roman" w:cs="Times New Roman"/>
          <w:sz w:val="24"/>
          <w:szCs w:val="24"/>
        </w:rPr>
        <w:t>‘</w:t>
      </w:r>
      <w:r w:rsidRPr="00105DCD">
        <w:rPr>
          <w:rFonts w:ascii="Times New Roman" w:hAnsi="Times New Roman" w:cs="Times New Roman"/>
          <w:sz w:val="24"/>
          <w:szCs w:val="24"/>
        </w:rPr>
        <w:t>βλάβης</w:t>
      </w:r>
      <w:r w:rsidR="00105DCD">
        <w:rPr>
          <w:rFonts w:ascii="Times New Roman" w:hAnsi="Times New Roman" w:cs="Times New Roman"/>
          <w:sz w:val="24"/>
          <w:szCs w:val="24"/>
        </w:rPr>
        <w:t>/δυσλειτουργίας’</w:t>
      </w:r>
      <w:r w:rsidRPr="00105DCD">
        <w:rPr>
          <w:rFonts w:ascii="Times New Roman" w:hAnsi="Times New Roman" w:cs="Times New Roman"/>
          <w:sz w:val="24"/>
          <w:szCs w:val="24"/>
        </w:rPr>
        <w:t xml:space="preserve"> αποτελεί έργο της ιατρικής ενώ το έργο της εκπαίδευσης </w:t>
      </w:r>
      <w:r w:rsidR="00C02960" w:rsidRPr="00105DCD">
        <w:rPr>
          <w:rFonts w:ascii="Times New Roman" w:hAnsi="Times New Roman" w:cs="Times New Roman"/>
          <w:sz w:val="24"/>
          <w:szCs w:val="24"/>
        </w:rPr>
        <w:t>κα</w:t>
      </w:r>
      <w:r w:rsidRPr="00105DCD">
        <w:rPr>
          <w:rFonts w:ascii="Times New Roman" w:hAnsi="Times New Roman" w:cs="Times New Roman"/>
          <w:sz w:val="24"/>
          <w:szCs w:val="24"/>
        </w:rPr>
        <w:t>ι της εκπαιδευτικής πολιτικής είναι η ομαλοποίηση του εκπαιδευτικού συστήματος και η ενδυνάμωση του</w:t>
      </w:r>
      <w:r w:rsidRPr="0075035A">
        <w:rPr>
          <w:rFonts w:ascii="Times New Roman" w:hAnsi="Times New Roman" w:cs="Times New Roman"/>
          <w:sz w:val="24"/>
          <w:szCs w:val="24"/>
        </w:rPr>
        <w:t xml:space="preserve"> ώστε να μπορεί να ανταποκρίνεται στις πολυπλοκότητες που καλείται να αντιμετωπίσει.   Όμως, επειδή η ομαλοποίηση του εκπαιδευτικού συστήματος είναι ένα </w:t>
      </w:r>
      <w:r w:rsidRPr="0075035A">
        <w:rPr>
          <w:rFonts w:ascii="Times New Roman" w:hAnsi="Times New Roman" w:cs="Times New Roman"/>
          <w:sz w:val="24"/>
          <w:szCs w:val="24"/>
        </w:rPr>
        <w:lastRenderedPageBreak/>
        <w:t xml:space="preserve">πολύπλοκο πολιτικό και εκπαιδευτικό εγχείρημα για το λόγο αυτό η ένταξη ενώ σε θεωρητικό επίπεδο αποτελεί έναν ισχυρό σύνθημα, στην πράξη αποτελεί μια γραφειοκρατική συζήτηση για την διαχείριση των  ανάπηρων μαθητών ή των μαθητών που αποκλίνουν από το κυρίαρχο μέσο όρο. </w:t>
      </w:r>
    </w:p>
    <w:p w14:paraId="1C358C88" w14:textId="77777777" w:rsidR="00C02960" w:rsidRPr="0075035A" w:rsidRDefault="00C02960" w:rsidP="0075035A">
      <w:pPr>
        <w:pStyle w:val="a"/>
        <w:spacing w:line="360" w:lineRule="auto"/>
        <w:jc w:val="both"/>
        <w:rPr>
          <w:rFonts w:ascii="Times New Roman" w:hAnsi="Times New Roman" w:cs="Times New Roman"/>
          <w:b/>
          <w:sz w:val="24"/>
          <w:szCs w:val="24"/>
        </w:rPr>
      </w:pPr>
    </w:p>
    <w:p w14:paraId="4D5D0D81" w14:textId="77777777" w:rsidR="000E574C" w:rsidRPr="0075035A" w:rsidRDefault="000E574C" w:rsidP="00105DCD">
      <w:pPr>
        <w:pStyle w:val="a"/>
        <w:spacing w:line="360" w:lineRule="auto"/>
        <w:ind w:firstLine="720"/>
        <w:jc w:val="both"/>
        <w:rPr>
          <w:rFonts w:ascii="Times New Roman" w:hAnsi="Times New Roman" w:cs="Times New Roman"/>
          <w:sz w:val="24"/>
          <w:szCs w:val="24"/>
        </w:rPr>
      </w:pPr>
      <w:r w:rsidRPr="00105DCD">
        <w:rPr>
          <w:rFonts w:ascii="Times New Roman" w:hAnsi="Times New Roman" w:cs="Times New Roman"/>
          <w:sz w:val="24"/>
          <w:szCs w:val="24"/>
        </w:rPr>
        <w:t>Όταν η ένταξη προσλαμβάνεται ως τεχνικό πρόβλημα τότε τείνει να  μετασχηματίζεται σε μια «τοπικού τύπου ενσωμάτωση» με την ανάπτυξη αφομοιωτικών πρακτικών.</w:t>
      </w:r>
      <w:r w:rsidR="00C02960" w:rsidRPr="00105DCD">
        <w:rPr>
          <w:rFonts w:ascii="Times New Roman" w:hAnsi="Times New Roman" w:cs="Times New Roman"/>
          <w:sz w:val="24"/>
          <w:szCs w:val="24"/>
        </w:rPr>
        <w:t xml:space="preserve"> </w:t>
      </w:r>
      <w:r w:rsidRPr="00105DCD">
        <w:rPr>
          <w:rFonts w:ascii="Times New Roman" w:hAnsi="Times New Roman" w:cs="Times New Roman"/>
          <w:sz w:val="24"/>
          <w:szCs w:val="24"/>
        </w:rPr>
        <w:t>Για αυτό το</w:t>
      </w:r>
      <w:r w:rsidRPr="0075035A">
        <w:rPr>
          <w:rFonts w:ascii="Times New Roman" w:hAnsi="Times New Roman" w:cs="Times New Roman"/>
          <w:sz w:val="24"/>
          <w:szCs w:val="24"/>
        </w:rPr>
        <w:t xml:space="preserve"> λόγο -</w:t>
      </w:r>
      <w:r w:rsidRPr="0075035A">
        <w:rPr>
          <w:rFonts w:ascii="Times New Roman" w:hAnsi="Times New Roman" w:cs="Times New Roman"/>
          <w:i/>
          <w:sz w:val="24"/>
          <w:szCs w:val="24"/>
        </w:rPr>
        <w:t>ακόμα και σήμερα</w:t>
      </w:r>
      <w:r w:rsidRPr="0075035A">
        <w:rPr>
          <w:rFonts w:ascii="Times New Roman" w:hAnsi="Times New Roman" w:cs="Times New Roman"/>
          <w:sz w:val="24"/>
          <w:szCs w:val="24"/>
        </w:rPr>
        <w:t xml:space="preserve"> - συρρικνώνουμε την ένταξη και την ταυτίζουμε με συγκεκριμένες τεχνικές ατομικής διαχείρισης του προβλήματος. Μια τέτοια τεχνική ατομικής διαχείρισης του προβλήματος είναι και  η παράλληλή στήριξη. </w:t>
      </w:r>
      <w:r w:rsidR="00C02960" w:rsidRPr="0075035A">
        <w:rPr>
          <w:rFonts w:ascii="Times New Roman" w:hAnsi="Times New Roman" w:cs="Times New Roman"/>
          <w:sz w:val="24"/>
          <w:szCs w:val="24"/>
        </w:rPr>
        <w:t>Η</w:t>
      </w:r>
      <w:r w:rsidRPr="0075035A">
        <w:rPr>
          <w:rFonts w:ascii="Times New Roman" w:hAnsi="Times New Roman" w:cs="Times New Roman"/>
          <w:sz w:val="24"/>
          <w:szCs w:val="24"/>
        </w:rPr>
        <w:t xml:space="preserve"> παράλληλη στήριξή, με τον τρόπο που εφαρμόζεται, όχι μόνον δεν έχει καμία σχέση με τη δημιουργία ενταξιακών περιβαλλόντων μάθησης αλλά αντιθέτως δημιουργεί και καινούργιες μορφές εξάρτησης, αποκλεισμού και περιθωριοποίησης– με τη μόνη διαφορά ότι αυτός ο αποκλεισμός ενδύεται το μανδύα της ένταξης. Δηλαδή, πρακτικές καθαρά αφομοίωσης του παιδιού χαρακτηρίζονται ως ενταξιακές πρακτικές και ενώ είναι η αφομοίωση αυτή που αποτυγχάνει, θεωρούμε ότι αποτυγχάνει η ένταξη. </w:t>
      </w:r>
    </w:p>
    <w:p w14:paraId="05DBEE60" w14:textId="77777777" w:rsidR="00FD1046" w:rsidRPr="00FD1046" w:rsidRDefault="000E574C" w:rsidP="00FD1046">
      <w:pPr>
        <w:pStyle w:val="a"/>
        <w:spacing w:line="360" w:lineRule="auto"/>
        <w:ind w:firstLine="360"/>
        <w:jc w:val="both"/>
        <w:rPr>
          <w:rFonts w:ascii="Times New Roman" w:hAnsi="Times New Roman" w:cs="Times New Roman"/>
          <w:sz w:val="24"/>
          <w:szCs w:val="24"/>
        </w:rPr>
      </w:pPr>
      <w:r w:rsidRPr="00FD1046">
        <w:rPr>
          <w:rFonts w:ascii="Times New Roman" w:hAnsi="Times New Roman" w:cs="Times New Roman"/>
          <w:sz w:val="24"/>
          <w:szCs w:val="24"/>
        </w:rPr>
        <w:t xml:space="preserve">Η ένταξη σε αντίθεση με τις τεχνικές διαχείρισης και αφομοίωσης της διαφορετικότητας, απαιτεί και προϋποθέτει </w:t>
      </w:r>
      <w:r w:rsidRPr="00FD1046">
        <w:rPr>
          <w:rFonts w:ascii="Times New Roman" w:hAnsi="Times New Roman" w:cs="Times New Roman"/>
          <w:i/>
          <w:sz w:val="24"/>
          <w:szCs w:val="24"/>
        </w:rPr>
        <w:t>οργανωμένες δομές συνεργασίας</w:t>
      </w:r>
      <w:r w:rsidRPr="00FD1046">
        <w:rPr>
          <w:rFonts w:ascii="Times New Roman" w:hAnsi="Times New Roman" w:cs="Times New Roman"/>
          <w:sz w:val="24"/>
          <w:szCs w:val="24"/>
        </w:rPr>
        <w:t xml:space="preserve">. </w:t>
      </w:r>
      <w:r w:rsidR="00FD1046" w:rsidRPr="00FD1046">
        <w:rPr>
          <w:rFonts w:ascii="Times New Roman" w:hAnsi="Times New Roman" w:cs="Times New Roman"/>
          <w:sz w:val="24"/>
          <w:szCs w:val="24"/>
        </w:rPr>
        <w:t xml:space="preserve">Η συνεργασία αποτελεί τον κυριότερο παράγοντα εφαρμογής επιτυχημένων προγραμμάτων ένταξης και τον μοναδικό παράγοντα πρόβλεψης των θετικών στάσεων ως προς την ένταξη των εκπαιδευτικών τόσο της γενικής όσο και της ειδικής αγωγής. Η συνεργασία δεν αναφέρεται απλά και μόνο στην υποστήριξη ενός μαθητή με αναπηρία με στόχο να συνεχίσει να παρευρίσκεται στη γενική τάξη ούτε και στην παρουσία δυο εκπαιδευτικών μαζί στην ίδια τάξη με στόχο να κάνουν τη δουλειά τους πιο εύκολη. Αναφέρεται πρωτίστως, στη διαδικασία ανάπτυξης και βελτίωσης  των ίδιων των εκπαιδευτικών και του εκπαιδευτικού τους έργου κατά τη διδασκαλία με στόχο την παροχή ευκαιριών για ουσιαστική πρόσβαση και συμμετοχή όλων των μαθητών στο αναλυτικό πρόγραμμα. </w:t>
      </w:r>
    </w:p>
    <w:p w14:paraId="61548A8D" w14:textId="77777777" w:rsidR="000E574C" w:rsidRPr="0075035A" w:rsidRDefault="000E574C" w:rsidP="0011027F">
      <w:pPr>
        <w:pStyle w:val="a"/>
        <w:spacing w:line="360" w:lineRule="auto"/>
        <w:ind w:firstLine="360"/>
        <w:jc w:val="both"/>
        <w:rPr>
          <w:rFonts w:ascii="Times New Roman" w:hAnsi="Times New Roman" w:cs="Times New Roman"/>
          <w:sz w:val="24"/>
          <w:szCs w:val="24"/>
        </w:rPr>
      </w:pPr>
      <w:r w:rsidRPr="0075035A">
        <w:rPr>
          <w:rFonts w:ascii="Times New Roman" w:hAnsi="Times New Roman" w:cs="Times New Roman"/>
          <w:sz w:val="24"/>
          <w:szCs w:val="24"/>
        </w:rPr>
        <w:t xml:space="preserve">Έρευνες που έγιναν σε σχολεία με υψηλά επίπεδα σχολικής επιτυχίας για όλους τους μαθητές, συμπεριλαμβανομένων και των μαθητών με αναπηρία, έδειξαν ότι αυτές οι σχολικές μονάδες είχαν τα </w:t>
      </w:r>
      <w:r w:rsidR="00FD1046">
        <w:rPr>
          <w:rFonts w:ascii="Times New Roman" w:hAnsi="Times New Roman" w:cs="Times New Roman"/>
          <w:sz w:val="24"/>
          <w:szCs w:val="24"/>
        </w:rPr>
        <w:t>ακόλουθα</w:t>
      </w:r>
      <w:r w:rsidRPr="0075035A">
        <w:rPr>
          <w:rFonts w:ascii="Times New Roman" w:hAnsi="Times New Roman" w:cs="Times New Roman"/>
          <w:sz w:val="24"/>
          <w:szCs w:val="24"/>
        </w:rPr>
        <w:t xml:space="preserve"> κοινά και κυρίαρχα χαρακτηριστικά γνωρίσματα:</w:t>
      </w:r>
    </w:p>
    <w:p w14:paraId="03542D7A" w14:textId="77777777" w:rsidR="000E574C" w:rsidRPr="00105DCD" w:rsidRDefault="000E574C" w:rsidP="000E574C">
      <w:pPr>
        <w:pStyle w:val="a"/>
        <w:numPr>
          <w:ilvl w:val="0"/>
          <w:numId w:val="10"/>
        </w:numPr>
        <w:spacing w:line="360" w:lineRule="auto"/>
        <w:rPr>
          <w:rFonts w:ascii="Times New Roman" w:hAnsi="Times New Roman" w:cs="Times New Roman"/>
          <w:sz w:val="24"/>
          <w:szCs w:val="24"/>
        </w:rPr>
      </w:pPr>
      <w:r w:rsidRPr="00105DCD">
        <w:rPr>
          <w:rFonts w:ascii="Times New Roman" w:hAnsi="Times New Roman" w:cs="Times New Roman"/>
          <w:sz w:val="24"/>
          <w:szCs w:val="24"/>
        </w:rPr>
        <w:t>διαμόρφωση συνεργατικής κουλτούρας</w:t>
      </w:r>
      <w:r w:rsidR="000454A3">
        <w:rPr>
          <w:rFonts w:ascii="Times New Roman" w:hAnsi="Times New Roman" w:cs="Times New Roman"/>
          <w:sz w:val="24"/>
          <w:szCs w:val="24"/>
        </w:rPr>
        <w:t>,</w:t>
      </w:r>
    </w:p>
    <w:p w14:paraId="4F614429" w14:textId="77777777" w:rsidR="000E574C" w:rsidRPr="00105DCD" w:rsidRDefault="000E574C" w:rsidP="000E574C">
      <w:pPr>
        <w:pStyle w:val="a"/>
        <w:numPr>
          <w:ilvl w:val="0"/>
          <w:numId w:val="10"/>
        </w:numPr>
        <w:spacing w:line="360" w:lineRule="auto"/>
        <w:rPr>
          <w:rFonts w:ascii="Times New Roman" w:hAnsi="Times New Roman" w:cs="Times New Roman"/>
          <w:sz w:val="24"/>
          <w:szCs w:val="24"/>
        </w:rPr>
      </w:pPr>
      <w:r w:rsidRPr="00105DCD">
        <w:rPr>
          <w:rFonts w:ascii="Times New Roman" w:hAnsi="Times New Roman" w:cs="Times New Roman"/>
          <w:sz w:val="24"/>
          <w:szCs w:val="24"/>
        </w:rPr>
        <w:t>αίσθηση της κοινής ευθύνης</w:t>
      </w:r>
      <w:r w:rsidR="000454A3">
        <w:rPr>
          <w:rFonts w:ascii="Times New Roman" w:hAnsi="Times New Roman" w:cs="Times New Roman"/>
          <w:sz w:val="24"/>
          <w:szCs w:val="24"/>
        </w:rPr>
        <w:t>,</w:t>
      </w:r>
    </w:p>
    <w:p w14:paraId="6180C47E" w14:textId="77777777" w:rsidR="000E574C" w:rsidRPr="00105DCD" w:rsidRDefault="000E574C" w:rsidP="000E574C">
      <w:pPr>
        <w:pStyle w:val="a"/>
        <w:numPr>
          <w:ilvl w:val="0"/>
          <w:numId w:val="10"/>
        </w:numPr>
        <w:spacing w:line="360" w:lineRule="auto"/>
        <w:rPr>
          <w:rFonts w:ascii="Times New Roman" w:hAnsi="Times New Roman" w:cs="Times New Roman"/>
          <w:sz w:val="24"/>
          <w:szCs w:val="24"/>
        </w:rPr>
      </w:pPr>
      <w:r w:rsidRPr="00105DCD">
        <w:rPr>
          <w:rFonts w:ascii="Times New Roman" w:hAnsi="Times New Roman" w:cs="Times New Roman"/>
          <w:sz w:val="24"/>
          <w:szCs w:val="24"/>
        </w:rPr>
        <w:t xml:space="preserve">υψηλές προσδοκίες για </w:t>
      </w:r>
      <w:r w:rsidRPr="00105DCD">
        <w:rPr>
          <w:rFonts w:ascii="Times New Roman" w:hAnsi="Times New Roman" w:cs="Times New Roman"/>
          <w:sz w:val="24"/>
          <w:szCs w:val="24"/>
          <w:u w:val="single"/>
        </w:rPr>
        <w:t>όλους</w:t>
      </w:r>
      <w:r w:rsidRPr="00105DCD">
        <w:rPr>
          <w:rFonts w:ascii="Times New Roman" w:hAnsi="Times New Roman" w:cs="Times New Roman"/>
          <w:sz w:val="24"/>
          <w:szCs w:val="24"/>
        </w:rPr>
        <w:t xml:space="preserve"> τους μαθητές</w:t>
      </w:r>
      <w:r w:rsidR="000454A3">
        <w:rPr>
          <w:rFonts w:ascii="Times New Roman" w:hAnsi="Times New Roman" w:cs="Times New Roman"/>
          <w:sz w:val="24"/>
          <w:szCs w:val="24"/>
        </w:rPr>
        <w:t>,</w:t>
      </w:r>
    </w:p>
    <w:p w14:paraId="23FF0053" w14:textId="77777777" w:rsidR="000E574C" w:rsidRPr="00105DCD" w:rsidRDefault="000E574C" w:rsidP="000E574C">
      <w:pPr>
        <w:pStyle w:val="a"/>
        <w:numPr>
          <w:ilvl w:val="0"/>
          <w:numId w:val="10"/>
        </w:numPr>
        <w:spacing w:line="360" w:lineRule="auto"/>
        <w:rPr>
          <w:rFonts w:ascii="Times New Roman" w:hAnsi="Times New Roman" w:cs="Times New Roman"/>
          <w:sz w:val="24"/>
          <w:szCs w:val="24"/>
        </w:rPr>
      </w:pPr>
      <w:r w:rsidRPr="00105DCD">
        <w:rPr>
          <w:rFonts w:ascii="Times New Roman" w:hAnsi="Times New Roman" w:cs="Times New Roman"/>
          <w:sz w:val="24"/>
          <w:szCs w:val="24"/>
        </w:rPr>
        <w:t>ανταλλαγή και σύνθεση γνώσεων &amp; δεξιοτήτων</w:t>
      </w:r>
      <w:r w:rsidR="000454A3">
        <w:rPr>
          <w:rFonts w:ascii="Times New Roman" w:hAnsi="Times New Roman" w:cs="Times New Roman"/>
          <w:sz w:val="24"/>
          <w:szCs w:val="24"/>
        </w:rPr>
        <w:t>,</w:t>
      </w:r>
    </w:p>
    <w:p w14:paraId="08BC2EDF" w14:textId="77777777" w:rsidR="000E574C" w:rsidRPr="00105DCD" w:rsidRDefault="000E574C" w:rsidP="000E574C">
      <w:pPr>
        <w:pStyle w:val="a"/>
        <w:numPr>
          <w:ilvl w:val="0"/>
          <w:numId w:val="10"/>
        </w:numPr>
        <w:spacing w:line="360" w:lineRule="auto"/>
        <w:rPr>
          <w:rFonts w:ascii="Times New Roman" w:hAnsi="Times New Roman" w:cs="Times New Roman"/>
          <w:sz w:val="24"/>
          <w:szCs w:val="24"/>
        </w:rPr>
      </w:pPr>
      <w:r w:rsidRPr="00105DCD">
        <w:rPr>
          <w:rFonts w:ascii="Times New Roman" w:hAnsi="Times New Roman" w:cs="Times New Roman"/>
          <w:sz w:val="24"/>
          <w:szCs w:val="24"/>
        </w:rPr>
        <w:t xml:space="preserve">υποστήριξη του κοινού στόχου βελτίωσης της διδασκαλίας αλλά και των επιδόσεων </w:t>
      </w:r>
      <w:r w:rsidRPr="00105DCD">
        <w:rPr>
          <w:rFonts w:ascii="Times New Roman" w:hAnsi="Times New Roman" w:cs="Times New Roman"/>
          <w:sz w:val="24"/>
          <w:szCs w:val="24"/>
          <w:u w:val="single"/>
        </w:rPr>
        <w:t>όλων</w:t>
      </w:r>
      <w:r w:rsidRPr="00105DCD">
        <w:rPr>
          <w:rFonts w:ascii="Times New Roman" w:hAnsi="Times New Roman" w:cs="Times New Roman"/>
          <w:sz w:val="24"/>
          <w:szCs w:val="24"/>
        </w:rPr>
        <w:t xml:space="preserve"> των μαθητών</w:t>
      </w:r>
      <w:r w:rsidR="000454A3">
        <w:rPr>
          <w:rFonts w:ascii="Times New Roman" w:hAnsi="Times New Roman" w:cs="Times New Roman"/>
          <w:sz w:val="24"/>
          <w:szCs w:val="24"/>
        </w:rPr>
        <w:t>,</w:t>
      </w:r>
      <w:r w:rsidRPr="00105DCD">
        <w:rPr>
          <w:rFonts w:ascii="Times New Roman" w:hAnsi="Times New Roman" w:cs="Times New Roman"/>
          <w:sz w:val="24"/>
          <w:szCs w:val="24"/>
        </w:rPr>
        <w:t xml:space="preserve"> και </w:t>
      </w:r>
    </w:p>
    <w:p w14:paraId="365ED5C3" w14:textId="77777777" w:rsidR="000E574C" w:rsidRPr="00105DCD" w:rsidRDefault="000E574C" w:rsidP="000E574C">
      <w:pPr>
        <w:pStyle w:val="a"/>
        <w:numPr>
          <w:ilvl w:val="0"/>
          <w:numId w:val="10"/>
        </w:numPr>
        <w:spacing w:line="360" w:lineRule="auto"/>
        <w:rPr>
          <w:rFonts w:ascii="Times New Roman" w:hAnsi="Times New Roman" w:cs="Times New Roman"/>
          <w:sz w:val="24"/>
          <w:szCs w:val="24"/>
        </w:rPr>
      </w:pPr>
      <w:r w:rsidRPr="00105DCD">
        <w:rPr>
          <w:rFonts w:ascii="Times New Roman" w:hAnsi="Times New Roman" w:cs="Times New Roman"/>
          <w:sz w:val="24"/>
          <w:szCs w:val="24"/>
        </w:rPr>
        <w:t>αίσθηση της επαγγελματικής κοινότητας στο πλαίσιο του σχολείου</w:t>
      </w:r>
      <w:r w:rsidR="000454A3">
        <w:rPr>
          <w:rFonts w:ascii="Times New Roman" w:hAnsi="Times New Roman" w:cs="Times New Roman"/>
          <w:sz w:val="24"/>
          <w:szCs w:val="24"/>
        </w:rPr>
        <w:t>.</w:t>
      </w:r>
    </w:p>
    <w:p w14:paraId="6F3B6EE2" w14:textId="77777777" w:rsidR="000454A3" w:rsidRDefault="000454A3" w:rsidP="000454A3">
      <w:pPr>
        <w:pStyle w:val="a"/>
        <w:jc w:val="both"/>
        <w:rPr>
          <w:rFonts w:ascii="Times New Roman" w:hAnsi="Times New Roman" w:cs="Times New Roman"/>
          <w:bCs/>
          <w:sz w:val="24"/>
          <w:szCs w:val="24"/>
        </w:rPr>
      </w:pPr>
    </w:p>
    <w:p w14:paraId="5619B429" w14:textId="77777777" w:rsidR="00C02960" w:rsidRPr="0075035A" w:rsidRDefault="000E574C" w:rsidP="00C02960">
      <w:pPr>
        <w:pStyle w:val="a"/>
        <w:spacing w:line="360" w:lineRule="auto"/>
        <w:jc w:val="both"/>
        <w:rPr>
          <w:rFonts w:ascii="Times New Roman" w:hAnsi="Times New Roman" w:cs="Times New Roman"/>
          <w:bCs/>
          <w:sz w:val="24"/>
          <w:szCs w:val="24"/>
        </w:rPr>
      </w:pPr>
      <w:r w:rsidRPr="0075035A">
        <w:rPr>
          <w:rFonts w:ascii="Times New Roman" w:hAnsi="Times New Roman" w:cs="Times New Roman"/>
          <w:bCs/>
          <w:sz w:val="24"/>
          <w:szCs w:val="24"/>
        </w:rPr>
        <w:t xml:space="preserve">Όλα τα παραπάνω, μας δείχνουν ότι η  ένταξη </w:t>
      </w:r>
      <w:r w:rsidRPr="0075035A">
        <w:rPr>
          <w:rFonts w:ascii="Times New Roman" w:hAnsi="Times New Roman" w:cs="Times New Roman"/>
          <w:bCs/>
          <w:sz w:val="24"/>
          <w:szCs w:val="24"/>
          <w:u w:val="single"/>
        </w:rPr>
        <w:t>δεν</w:t>
      </w:r>
      <w:r w:rsidRPr="0075035A">
        <w:rPr>
          <w:rFonts w:ascii="Times New Roman" w:hAnsi="Times New Roman" w:cs="Times New Roman"/>
          <w:bCs/>
          <w:sz w:val="24"/>
          <w:szCs w:val="24"/>
        </w:rPr>
        <w:t xml:space="preserve"> αποτελεί μια περιφερειακή δραστηριότητα της εκπαίδευσης, και δεν αφορά την απλή μεταφορά των μαθητών σε ένα αμετάβλητο, υπο-χρηματοδοτούμενο και ανοργάνωτο </w:t>
      </w:r>
      <w:r w:rsidR="00C02960" w:rsidRPr="0075035A">
        <w:rPr>
          <w:rFonts w:ascii="Times New Roman" w:hAnsi="Times New Roman" w:cs="Times New Roman"/>
          <w:bCs/>
          <w:sz w:val="24"/>
          <w:szCs w:val="24"/>
        </w:rPr>
        <w:t xml:space="preserve">εκπαιδευτικό/σχολικό περιβάλλον –η ένταξη </w:t>
      </w:r>
      <w:r w:rsidRPr="0075035A">
        <w:rPr>
          <w:rFonts w:ascii="Times New Roman" w:hAnsi="Times New Roman" w:cs="Times New Roman"/>
          <w:bCs/>
          <w:sz w:val="24"/>
          <w:szCs w:val="24"/>
        </w:rPr>
        <w:t xml:space="preserve">δεν αποτελεί φτηνή λύση της ειδικής αγωγής. </w:t>
      </w:r>
      <w:r w:rsidR="00C02960" w:rsidRPr="0075035A">
        <w:rPr>
          <w:rFonts w:ascii="Times New Roman" w:hAnsi="Times New Roman" w:cs="Times New Roman"/>
          <w:bCs/>
          <w:sz w:val="24"/>
          <w:szCs w:val="24"/>
        </w:rPr>
        <w:t xml:space="preserve">Επιπλέον, η ενταξιακή εκπαίδευση δεν έχει σχέση με πρακτικές περιστολής, αφομοίωσης, απλής προσαρμογής και χωροταξικού διαχωρισμού που παραβιάζουν την αρχή της ισότητας των ευκαιριών στην εκπαίδευση για όλα τα παιδιά. </w:t>
      </w:r>
    </w:p>
    <w:p w14:paraId="33215DA4" w14:textId="77777777" w:rsidR="003A590E" w:rsidRPr="0075035A" w:rsidRDefault="003A590E" w:rsidP="00FD1046">
      <w:pPr>
        <w:pStyle w:val="a"/>
        <w:spacing w:line="360" w:lineRule="auto"/>
        <w:ind w:firstLine="720"/>
        <w:jc w:val="both"/>
        <w:rPr>
          <w:rFonts w:ascii="Times New Roman" w:hAnsi="Times New Roman" w:cs="Times New Roman"/>
          <w:bCs/>
          <w:sz w:val="24"/>
          <w:szCs w:val="24"/>
        </w:rPr>
      </w:pPr>
      <w:r w:rsidRPr="0075035A">
        <w:rPr>
          <w:rFonts w:ascii="Times New Roman" w:hAnsi="Times New Roman" w:cs="Times New Roman"/>
          <w:bCs/>
          <w:sz w:val="24"/>
          <w:szCs w:val="24"/>
        </w:rPr>
        <w:t xml:space="preserve">Η ένταξη είναι πρωτίστως μία πολιτική διαδικασία, διότι σχετίζεται με το ποιος είναι μέσα και ποιος είναι έξω. Ασχολείται με όλες τις μορφές των ανισοτήτων, διακρίσεων αλλά και της καταπίεσης που υφίστανται συγκεκριμένες ομάδες μαθητών. Ασχολείται, επίσης, με τη φύση των αποφάσεων που λαμβάνονται κάθε φορά και αναγείρει το θεμελιώδες ερώτημα «ένταξη σε τι;». Στόχος της ένταξης είναι η ευημερία όλων των μαθητών και η παροχή μιας ενταξιακής κουλτούρας που προωθείται μέσα από την: </w:t>
      </w:r>
    </w:p>
    <w:p w14:paraId="221220C4" w14:textId="77777777" w:rsidR="003A590E" w:rsidRPr="0075035A" w:rsidRDefault="003A590E" w:rsidP="00FD1046">
      <w:pPr>
        <w:pStyle w:val="a"/>
        <w:spacing w:line="360" w:lineRule="auto"/>
        <w:jc w:val="both"/>
        <w:rPr>
          <w:rFonts w:ascii="Times New Roman" w:hAnsi="Times New Roman" w:cs="Times New Roman"/>
          <w:bCs/>
          <w:sz w:val="24"/>
          <w:szCs w:val="24"/>
        </w:rPr>
      </w:pPr>
      <w:r w:rsidRPr="0075035A">
        <w:rPr>
          <w:rFonts w:ascii="Times New Roman" w:hAnsi="Times New Roman" w:cs="Times New Roman"/>
          <w:bCs/>
          <w:sz w:val="24"/>
          <w:szCs w:val="24"/>
        </w:rPr>
        <w:t xml:space="preserve">(α) εξασφάλιση της πλέον κατάλληλης εκπαίδευσης για κάθε παιδί στο πλέον «κανονικό» περιβάλλον, </w:t>
      </w:r>
    </w:p>
    <w:p w14:paraId="2C7FBDEB" w14:textId="77777777" w:rsidR="003A590E" w:rsidRPr="0075035A" w:rsidRDefault="003A590E" w:rsidP="00FD1046">
      <w:pPr>
        <w:pStyle w:val="a"/>
        <w:spacing w:line="360" w:lineRule="auto"/>
        <w:jc w:val="both"/>
        <w:rPr>
          <w:rFonts w:ascii="Times New Roman" w:hAnsi="Times New Roman" w:cs="Times New Roman"/>
          <w:bCs/>
          <w:sz w:val="24"/>
          <w:szCs w:val="24"/>
        </w:rPr>
      </w:pPr>
      <w:r w:rsidRPr="0075035A">
        <w:rPr>
          <w:rFonts w:ascii="Times New Roman" w:hAnsi="Times New Roman" w:cs="Times New Roman"/>
          <w:bCs/>
          <w:sz w:val="24"/>
          <w:szCs w:val="24"/>
        </w:rPr>
        <w:t xml:space="preserve">(β) κατανόηση του παιδιού ως ένα άτομο με πολλές ιδιότητες και όχι ως ετικέτα, </w:t>
      </w:r>
    </w:p>
    <w:p w14:paraId="3BA5BB7C" w14:textId="77777777" w:rsidR="003A590E" w:rsidRPr="0075035A" w:rsidRDefault="003A590E" w:rsidP="00FD1046">
      <w:pPr>
        <w:pStyle w:val="a"/>
        <w:spacing w:line="360" w:lineRule="auto"/>
        <w:jc w:val="both"/>
        <w:rPr>
          <w:rFonts w:ascii="Times New Roman" w:hAnsi="Times New Roman" w:cs="Times New Roman"/>
          <w:bCs/>
          <w:sz w:val="24"/>
          <w:szCs w:val="24"/>
        </w:rPr>
      </w:pPr>
      <w:r w:rsidRPr="0075035A">
        <w:rPr>
          <w:rFonts w:ascii="Times New Roman" w:hAnsi="Times New Roman" w:cs="Times New Roman"/>
          <w:bCs/>
          <w:sz w:val="24"/>
          <w:szCs w:val="24"/>
        </w:rPr>
        <w:t xml:space="preserve">(γ) αναζήτηση μεθόδων και δημιουργία τρόπων διδασκαλίας όλων των παιδιών από τους εκπαιδευτικούς της γενικής εκπαίδευσης σε συνεργασία με τους συναδέλφους εκπαιδευτικούς ειδικής αγωγής, και </w:t>
      </w:r>
    </w:p>
    <w:p w14:paraId="60165917" w14:textId="77777777" w:rsidR="00C02960" w:rsidRPr="0075035A" w:rsidRDefault="003A590E" w:rsidP="00FD1046">
      <w:pPr>
        <w:pStyle w:val="a"/>
        <w:spacing w:line="360" w:lineRule="auto"/>
        <w:jc w:val="both"/>
        <w:rPr>
          <w:rFonts w:ascii="Times New Roman" w:hAnsi="Times New Roman" w:cs="Times New Roman"/>
          <w:bCs/>
          <w:sz w:val="24"/>
          <w:szCs w:val="24"/>
        </w:rPr>
      </w:pPr>
      <w:r w:rsidRPr="0075035A">
        <w:rPr>
          <w:rFonts w:ascii="Times New Roman" w:hAnsi="Times New Roman" w:cs="Times New Roman"/>
          <w:bCs/>
          <w:sz w:val="24"/>
          <w:szCs w:val="24"/>
        </w:rPr>
        <w:t>(δ) χρησιμοποίηση και τον συνδυασμό όλων των δεξιοτήτων και γνώσεων των εκπαιδευτικών και της γενικής και της ειδικής εκπαίδευσης.</w:t>
      </w:r>
    </w:p>
    <w:p w14:paraId="5464A76A" w14:textId="77777777" w:rsidR="00C02960" w:rsidRPr="0075035A" w:rsidRDefault="00C02960" w:rsidP="00C02960">
      <w:pPr>
        <w:pStyle w:val="a"/>
        <w:spacing w:line="360" w:lineRule="auto"/>
        <w:rPr>
          <w:rFonts w:ascii="Times New Roman" w:hAnsi="Times New Roman" w:cs="Times New Roman"/>
          <w:bCs/>
          <w:sz w:val="24"/>
          <w:szCs w:val="24"/>
        </w:rPr>
      </w:pPr>
    </w:p>
    <w:p w14:paraId="3477621A" w14:textId="77777777" w:rsidR="0003303F" w:rsidRPr="0075035A" w:rsidRDefault="003A590E" w:rsidP="00C02960">
      <w:pPr>
        <w:pStyle w:val="a"/>
        <w:spacing w:line="360" w:lineRule="auto"/>
        <w:rPr>
          <w:rFonts w:ascii="Times New Roman" w:hAnsi="Times New Roman" w:cs="Times New Roman"/>
          <w:sz w:val="24"/>
          <w:szCs w:val="24"/>
        </w:rPr>
      </w:pPr>
      <w:r w:rsidRPr="0075035A">
        <w:rPr>
          <w:rFonts w:ascii="Times New Roman" w:hAnsi="Times New Roman" w:cs="Times New Roman"/>
          <w:bCs/>
          <w:sz w:val="24"/>
          <w:szCs w:val="24"/>
        </w:rPr>
        <w:t>Επομένως, η</w:t>
      </w:r>
      <w:r w:rsidR="000E574C" w:rsidRPr="0075035A">
        <w:rPr>
          <w:rFonts w:ascii="Times New Roman" w:hAnsi="Times New Roman" w:cs="Times New Roman"/>
          <w:bCs/>
          <w:sz w:val="24"/>
          <w:szCs w:val="24"/>
        </w:rPr>
        <w:t xml:space="preserve"> ένταξη αφορά τον πυρήνα λειτουργίας του γενικού εκπαιδευτικού συστήματος</w:t>
      </w:r>
      <w:r w:rsidR="00C02960" w:rsidRPr="0075035A">
        <w:rPr>
          <w:rFonts w:ascii="Times New Roman" w:hAnsi="Times New Roman" w:cs="Times New Roman"/>
          <w:bCs/>
          <w:sz w:val="24"/>
          <w:szCs w:val="24"/>
        </w:rPr>
        <w:t xml:space="preserve"> και διέπεται </w:t>
      </w:r>
      <w:r w:rsidR="00235340" w:rsidRPr="0075035A">
        <w:rPr>
          <w:rFonts w:ascii="Times New Roman" w:eastAsia="Times New Roman" w:hAnsi="Times New Roman" w:cs="Times New Roman"/>
          <w:sz w:val="24"/>
          <w:szCs w:val="24"/>
        </w:rPr>
        <w:t>από τις ακόλουθες φιλοσοφικές αρχές</w:t>
      </w:r>
      <w:r w:rsidR="00235340" w:rsidRPr="0075035A">
        <w:rPr>
          <w:rFonts w:ascii="Times New Roman" w:hAnsi="Times New Roman" w:cs="Times New Roman"/>
          <w:sz w:val="24"/>
          <w:szCs w:val="24"/>
        </w:rPr>
        <w:t xml:space="preserve">: </w:t>
      </w:r>
    </w:p>
    <w:p w14:paraId="62FB5C0E" w14:textId="77777777" w:rsidR="0003303F" w:rsidRPr="0075035A" w:rsidRDefault="00235340">
      <w:pPr>
        <w:pStyle w:val="a"/>
        <w:spacing w:line="360" w:lineRule="auto"/>
        <w:jc w:val="both"/>
        <w:rPr>
          <w:rFonts w:ascii="Times New Roman" w:hAnsi="Times New Roman" w:cs="Times New Roman"/>
          <w:sz w:val="24"/>
          <w:szCs w:val="24"/>
        </w:rPr>
      </w:pPr>
      <w:r w:rsidRPr="0075035A">
        <w:rPr>
          <w:rFonts w:ascii="Times New Roman" w:hAnsi="Times New Roman" w:cs="Times New Roman"/>
          <w:sz w:val="24"/>
          <w:szCs w:val="24"/>
        </w:rPr>
        <w:t xml:space="preserve">(α) κάθε παιδί έχει το δικαίωμα του </w:t>
      </w:r>
      <w:r w:rsidR="00F6664C" w:rsidRPr="0075035A">
        <w:rPr>
          <w:rFonts w:ascii="Times New Roman" w:hAnsi="Times New Roman" w:cs="Times New Roman"/>
          <w:sz w:val="24"/>
          <w:szCs w:val="24"/>
        </w:rPr>
        <w:t>«</w:t>
      </w:r>
      <w:proofErr w:type="spellStart"/>
      <w:r w:rsidRPr="0075035A">
        <w:rPr>
          <w:rFonts w:ascii="Times New Roman" w:hAnsi="Times New Roman" w:cs="Times New Roman"/>
          <w:sz w:val="24"/>
          <w:szCs w:val="24"/>
        </w:rPr>
        <w:t>ανήκειν</w:t>
      </w:r>
      <w:proofErr w:type="spellEnd"/>
      <w:r w:rsidR="00F6664C" w:rsidRPr="0075035A">
        <w:rPr>
          <w:rFonts w:ascii="Times New Roman" w:hAnsi="Times New Roman" w:cs="Times New Roman"/>
          <w:sz w:val="24"/>
          <w:szCs w:val="24"/>
        </w:rPr>
        <w:t>»</w:t>
      </w:r>
      <w:r w:rsidRPr="0075035A">
        <w:rPr>
          <w:rFonts w:ascii="Times New Roman" w:hAnsi="Times New Roman" w:cs="Times New Roman"/>
          <w:sz w:val="24"/>
          <w:szCs w:val="24"/>
        </w:rPr>
        <w:t xml:space="preserve">, </w:t>
      </w:r>
    </w:p>
    <w:p w14:paraId="60077268" w14:textId="77777777" w:rsidR="0003303F" w:rsidRPr="0075035A" w:rsidRDefault="00235340">
      <w:pPr>
        <w:pStyle w:val="a"/>
        <w:spacing w:line="360" w:lineRule="auto"/>
        <w:jc w:val="both"/>
        <w:rPr>
          <w:rFonts w:ascii="Times New Roman" w:hAnsi="Times New Roman" w:cs="Times New Roman"/>
          <w:sz w:val="24"/>
          <w:szCs w:val="24"/>
        </w:rPr>
      </w:pPr>
      <w:r w:rsidRPr="0075035A">
        <w:rPr>
          <w:rFonts w:ascii="Times New Roman" w:hAnsi="Times New Roman" w:cs="Times New Roman"/>
          <w:sz w:val="24"/>
          <w:szCs w:val="24"/>
        </w:rPr>
        <w:t xml:space="preserve">(β) κάθε παιδί για να αναπτυχθεί χρειάζεται σχέσεις με συνομηλίκους διαφορετικών ιδιοτήτων, </w:t>
      </w:r>
    </w:p>
    <w:p w14:paraId="18BCDA26" w14:textId="77777777" w:rsidR="0003303F" w:rsidRPr="0075035A" w:rsidRDefault="00235340">
      <w:pPr>
        <w:pStyle w:val="a"/>
        <w:spacing w:line="360" w:lineRule="auto"/>
        <w:jc w:val="both"/>
        <w:rPr>
          <w:rFonts w:ascii="Times New Roman" w:hAnsi="Times New Roman" w:cs="Times New Roman"/>
          <w:sz w:val="24"/>
          <w:szCs w:val="24"/>
        </w:rPr>
      </w:pPr>
      <w:r w:rsidRPr="0075035A">
        <w:rPr>
          <w:rFonts w:ascii="Times New Roman" w:hAnsi="Times New Roman" w:cs="Times New Roman"/>
          <w:sz w:val="24"/>
          <w:szCs w:val="24"/>
        </w:rPr>
        <w:t xml:space="preserve">(γ) τα σχολεία είναι ένας χώρος όπου </w:t>
      </w:r>
      <w:r w:rsidR="00415218" w:rsidRPr="0075035A">
        <w:rPr>
          <w:rFonts w:ascii="Times New Roman" w:hAnsi="Times New Roman" w:cs="Times New Roman"/>
          <w:sz w:val="24"/>
          <w:szCs w:val="24"/>
        </w:rPr>
        <w:t xml:space="preserve">η </w:t>
      </w:r>
      <w:r w:rsidRPr="0075035A">
        <w:rPr>
          <w:rFonts w:ascii="Times New Roman" w:hAnsi="Times New Roman" w:cs="Times New Roman"/>
          <w:sz w:val="24"/>
          <w:szCs w:val="24"/>
        </w:rPr>
        <w:t xml:space="preserve">διαφορετικότητα θα πρέπει να εκτιμάται, </w:t>
      </w:r>
    </w:p>
    <w:p w14:paraId="20099988" w14:textId="77777777" w:rsidR="00C02960" w:rsidRPr="0075035A" w:rsidRDefault="00235340">
      <w:pPr>
        <w:pStyle w:val="a"/>
        <w:spacing w:line="360" w:lineRule="auto"/>
        <w:jc w:val="both"/>
        <w:rPr>
          <w:rFonts w:ascii="Times New Roman" w:hAnsi="Times New Roman" w:cs="Times New Roman"/>
          <w:sz w:val="24"/>
          <w:szCs w:val="24"/>
        </w:rPr>
      </w:pPr>
      <w:r w:rsidRPr="0075035A">
        <w:rPr>
          <w:rFonts w:ascii="Times New Roman" w:hAnsi="Times New Roman" w:cs="Times New Roman"/>
          <w:sz w:val="24"/>
          <w:szCs w:val="24"/>
        </w:rPr>
        <w:t xml:space="preserve">(δ) όλοι οι άνθρωποι έχουν την ανάγκη να κάνουν όνειρα και να εκφράζουν τις προσδοκίες τους. </w:t>
      </w:r>
    </w:p>
    <w:p w14:paraId="2B53B2F3" w14:textId="77777777" w:rsidR="00C02960" w:rsidRPr="0075035A" w:rsidRDefault="00C02960">
      <w:pPr>
        <w:pStyle w:val="a"/>
        <w:spacing w:line="360" w:lineRule="auto"/>
        <w:jc w:val="both"/>
        <w:rPr>
          <w:rFonts w:ascii="Times New Roman" w:hAnsi="Times New Roman" w:cs="Times New Roman"/>
          <w:sz w:val="24"/>
          <w:szCs w:val="24"/>
        </w:rPr>
      </w:pPr>
    </w:p>
    <w:p w14:paraId="4504E520" w14:textId="77777777" w:rsidR="00035044" w:rsidRPr="0075035A" w:rsidRDefault="00235340" w:rsidP="003A590E">
      <w:pPr>
        <w:pStyle w:val="a"/>
        <w:spacing w:line="360" w:lineRule="auto"/>
        <w:jc w:val="both"/>
        <w:rPr>
          <w:rFonts w:ascii="Times New Roman" w:eastAsia="Times New Roman" w:hAnsi="Times New Roman" w:cs="Times New Roman"/>
          <w:sz w:val="24"/>
          <w:szCs w:val="24"/>
        </w:rPr>
      </w:pPr>
      <w:r w:rsidRPr="0075035A">
        <w:rPr>
          <w:rFonts w:ascii="Times New Roman" w:hAnsi="Times New Roman" w:cs="Times New Roman"/>
          <w:sz w:val="24"/>
          <w:szCs w:val="24"/>
        </w:rPr>
        <w:t xml:space="preserve">Υπό αυτό το πρίσμα, η ενταξιακή εκπαίδευση στηρίζεται στη λογική ότι δεν υπάρχουν </w:t>
      </w:r>
      <w:r w:rsidR="0003303F" w:rsidRPr="0075035A">
        <w:rPr>
          <w:rFonts w:ascii="Times New Roman" w:hAnsi="Times New Roman" w:cs="Times New Roman"/>
          <w:sz w:val="24"/>
          <w:szCs w:val="24"/>
        </w:rPr>
        <w:t>«</w:t>
      </w:r>
      <w:r w:rsidRPr="0075035A">
        <w:rPr>
          <w:rFonts w:ascii="Times New Roman" w:hAnsi="Times New Roman" w:cs="Times New Roman"/>
          <w:sz w:val="24"/>
          <w:szCs w:val="24"/>
        </w:rPr>
        <w:t>ειδικά</w:t>
      </w:r>
      <w:r w:rsidR="0003303F" w:rsidRPr="0075035A">
        <w:rPr>
          <w:rFonts w:ascii="Times New Roman" w:hAnsi="Times New Roman" w:cs="Times New Roman"/>
          <w:sz w:val="24"/>
          <w:szCs w:val="24"/>
        </w:rPr>
        <w:t>»</w:t>
      </w:r>
      <w:r w:rsidRPr="0075035A">
        <w:rPr>
          <w:rFonts w:ascii="Times New Roman" w:hAnsi="Times New Roman" w:cs="Times New Roman"/>
          <w:sz w:val="24"/>
          <w:szCs w:val="24"/>
        </w:rPr>
        <w:t xml:space="preserve"> και </w:t>
      </w:r>
      <w:r w:rsidR="0003303F" w:rsidRPr="0075035A">
        <w:rPr>
          <w:rFonts w:ascii="Times New Roman" w:hAnsi="Times New Roman" w:cs="Times New Roman"/>
          <w:sz w:val="24"/>
          <w:szCs w:val="24"/>
        </w:rPr>
        <w:t>«</w:t>
      </w:r>
      <w:r w:rsidRPr="0075035A">
        <w:rPr>
          <w:rFonts w:ascii="Times New Roman" w:hAnsi="Times New Roman" w:cs="Times New Roman"/>
          <w:sz w:val="24"/>
          <w:szCs w:val="24"/>
        </w:rPr>
        <w:t>κανονικά</w:t>
      </w:r>
      <w:r w:rsidR="0003303F" w:rsidRPr="0075035A">
        <w:rPr>
          <w:rFonts w:ascii="Times New Roman" w:hAnsi="Times New Roman" w:cs="Times New Roman"/>
          <w:sz w:val="24"/>
          <w:szCs w:val="24"/>
        </w:rPr>
        <w:t>»</w:t>
      </w:r>
      <w:r w:rsidRPr="0075035A">
        <w:rPr>
          <w:rFonts w:ascii="Times New Roman" w:hAnsi="Times New Roman" w:cs="Times New Roman"/>
          <w:sz w:val="24"/>
          <w:szCs w:val="24"/>
        </w:rPr>
        <w:t xml:space="preserve"> παιδιά ή </w:t>
      </w:r>
      <w:r w:rsidR="0003303F" w:rsidRPr="0075035A">
        <w:rPr>
          <w:rFonts w:ascii="Times New Roman" w:hAnsi="Times New Roman" w:cs="Times New Roman"/>
          <w:sz w:val="24"/>
          <w:szCs w:val="24"/>
        </w:rPr>
        <w:t>«</w:t>
      </w:r>
      <w:r w:rsidRPr="0075035A">
        <w:rPr>
          <w:rFonts w:ascii="Times New Roman" w:hAnsi="Times New Roman" w:cs="Times New Roman"/>
          <w:sz w:val="24"/>
          <w:szCs w:val="24"/>
        </w:rPr>
        <w:t>ειδικός</w:t>
      </w:r>
      <w:r w:rsidR="0003303F" w:rsidRPr="0075035A">
        <w:rPr>
          <w:rFonts w:ascii="Times New Roman" w:hAnsi="Times New Roman" w:cs="Times New Roman"/>
          <w:sz w:val="24"/>
          <w:szCs w:val="24"/>
        </w:rPr>
        <w:t>»</w:t>
      </w:r>
      <w:r w:rsidRPr="0075035A">
        <w:rPr>
          <w:rFonts w:ascii="Times New Roman" w:hAnsi="Times New Roman" w:cs="Times New Roman"/>
          <w:sz w:val="24"/>
          <w:szCs w:val="24"/>
        </w:rPr>
        <w:t xml:space="preserve"> και </w:t>
      </w:r>
      <w:r w:rsidR="0003303F" w:rsidRPr="0075035A">
        <w:rPr>
          <w:rFonts w:ascii="Times New Roman" w:hAnsi="Times New Roman" w:cs="Times New Roman"/>
          <w:sz w:val="24"/>
          <w:szCs w:val="24"/>
        </w:rPr>
        <w:t>«</w:t>
      </w:r>
      <w:r w:rsidRPr="0075035A">
        <w:rPr>
          <w:rFonts w:ascii="Times New Roman" w:hAnsi="Times New Roman" w:cs="Times New Roman"/>
          <w:sz w:val="24"/>
          <w:szCs w:val="24"/>
        </w:rPr>
        <w:t>κανονικός</w:t>
      </w:r>
      <w:r w:rsidR="0003303F" w:rsidRPr="0075035A">
        <w:rPr>
          <w:rFonts w:ascii="Times New Roman" w:hAnsi="Times New Roman" w:cs="Times New Roman"/>
          <w:sz w:val="24"/>
          <w:szCs w:val="24"/>
        </w:rPr>
        <w:t>»</w:t>
      </w:r>
      <w:r w:rsidRPr="0075035A">
        <w:rPr>
          <w:rFonts w:ascii="Times New Roman" w:hAnsi="Times New Roman" w:cs="Times New Roman"/>
          <w:sz w:val="24"/>
          <w:szCs w:val="24"/>
        </w:rPr>
        <w:t xml:space="preserve"> κόσμος-</w:t>
      </w:r>
      <w:r w:rsidR="0003303F" w:rsidRPr="0075035A">
        <w:rPr>
          <w:rFonts w:ascii="Times New Roman" w:hAnsi="Times New Roman" w:cs="Times New Roman"/>
          <w:sz w:val="24"/>
          <w:szCs w:val="24"/>
        </w:rPr>
        <w:t xml:space="preserve"> υπάρχει μία </w:t>
      </w:r>
      <w:r w:rsidRPr="0075035A">
        <w:rPr>
          <w:rFonts w:ascii="Times New Roman" w:hAnsi="Times New Roman" w:cs="Times New Roman"/>
          <w:sz w:val="24"/>
          <w:szCs w:val="24"/>
        </w:rPr>
        <w:t xml:space="preserve">καθημερινότητα </w:t>
      </w:r>
      <w:r w:rsidR="003C1DB3" w:rsidRPr="0075035A">
        <w:rPr>
          <w:rFonts w:ascii="Times New Roman" w:hAnsi="Times New Roman" w:cs="Times New Roman"/>
          <w:sz w:val="24"/>
          <w:szCs w:val="24"/>
        </w:rPr>
        <w:t xml:space="preserve">με παιδιά και νέους ανθρώπους οι οποίοι </w:t>
      </w:r>
      <w:r w:rsidRPr="0075035A">
        <w:rPr>
          <w:rFonts w:ascii="Times New Roman" w:hAnsi="Times New Roman" w:cs="Times New Roman"/>
          <w:sz w:val="24"/>
          <w:szCs w:val="24"/>
        </w:rPr>
        <w:t xml:space="preserve">μοιάζουν μεταξύ τους </w:t>
      </w:r>
      <w:r w:rsidR="003C1DB3" w:rsidRPr="0075035A">
        <w:rPr>
          <w:rFonts w:ascii="Times New Roman" w:hAnsi="Times New Roman" w:cs="Times New Roman"/>
          <w:sz w:val="24"/>
          <w:szCs w:val="24"/>
        </w:rPr>
        <w:t>(π.χ. είναι μαθητές) αλλά ταυτοχρόνως διαφέρουν ως προς τις ανάγκες, τις δυνατότητες, τις εμπειρίες αλλά και τις προτιμήσεις, τα κίνητρα και τις δεξιότητες.</w:t>
      </w:r>
      <w:r w:rsidRPr="0075035A">
        <w:rPr>
          <w:rFonts w:ascii="Times New Roman" w:hAnsi="Times New Roman" w:cs="Times New Roman"/>
          <w:sz w:val="24"/>
          <w:szCs w:val="24"/>
        </w:rPr>
        <w:t xml:space="preserve"> </w:t>
      </w:r>
    </w:p>
    <w:p w14:paraId="67D6D616" w14:textId="77777777" w:rsidR="00FD1046" w:rsidRDefault="00235340">
      <w:pPr>
        <w:pStyle w:val="a"/>
        <w:spacing w:line="360" w:lineRule="auto"/>
        <w:jc w:val="both"/>
        <w:rPr>
          <w:rFonts w:ascii="Times New Roman" w:eastAsia="Times New Roman" w:hAnsi="Times New Roman" w:cs="Times New Roman"/>
          <w:sz w:val="24"/>
          <w:szCs w:val="24"/>
        </w:rPr>
      </w:pPr>
      <w:r w:rsidRPr="0075035A">
        <w:rPr>
          <w:rFonts w:ascii="Times New Roman" w:eastAsia="Times New Roman" w:hAnsi="Times New Roman" w:cs="Times New Roman"/>
          <w:sz w:val="24"/>
          <w:szCs w:val="24"/>
        </w:rPr>
        <w:lastRenderedPageBreak/>
        <w:tab/>
      </w:r>
    </w:p>
    <w:sectPr w:rsidR="00FD104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1EA4A" w14:textId="77777777" w:rsidR="00717299" w:rsidRDefault="00717299">
      <w:r>
        <w:separator/>
      </w:r>
    </w:p>
  </w:endnote>
  <w:endnote w:type="continuationSeparator" w:id="0">
    <w:p w14:paraId="1CFD090E" w14:textId="77777777" w:rsidR="00717299" w:rsidRDefault="0071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F6524" w14:textId="77777777" w:rsidR="00044937" w:rsidRDefault="00717299">
    <w:pPr>
      <w:rPr>
        <w:i/>
        <w:sz w:val="20"/>
        <w:szCs w:val="20"/>
      </w:rPr>
    </w:pPr>
    <w:r>
      <w:rPr>
        <w:i/>
        <w:sz w:val="20"/>
        <w:szCs w:val="20"/>
      </w:rPr>
      <w:pict w14:anchorId="63EA5D29">
        <v:rect id="_x0000_i1025" style="width:0;height:1.5pt" o:hralign="center" o:hrstd="t" o:hr="t" fillcolor="#a0a0a0" stroked="f"/>
      </w:pict>
    </w:r>
  </w:p>
  <w:p w14:paraId="15C7FF6E" w14:textId="77777777" w:rsidR="00035044" w:rsidRPr="008574CD" w:rsidRDefault="008574CD">
    <w:pPr>
      <w:rPr>
        <w:i/>
        <w:sz w:val="20"/>
        <w:szCs w:val="20"/>
        <w:lang w:val="el-GR"/>
      </w:rPr>
    </w:pPr>
    <w:r w:rsidRPr="008574CD">
      <w:rPr>
        <w:i/>
        <w:sz w:val="20"/>
        <w:szCs w:val="20"/>
        <w:lang w:val="el-GR"/>
      </w:rPr>
      <w:t xml:space="preserve">Αναστασία Βλάχου, </w:t>
    </w:r>
    <w:r>
      <w:rPr>
        <w:i/>
        <w:sz w:val="20"/>
        <w:szCs w:val="20"/>
        <w:lang w:val="el-GR"/>
      </w:rPr>
      <w:t xml:space="preserve">Καθηγήτρια Ειδική Αγωγής-Εκπαιδευτικής Ένταξης, </w:t>
    </w:r>
    <w:r w:rsidRPr="008574CD">
      <w:rPr>
        <w:i/>
        <w:sz w:val="20"/>
        <w:szCs w:val="20"/>
        <w:lang w:val="el-GR"/>
      </w:rPr>
      <w:t>Παιδαγωγικό Τμήμα Ειδικής Αγωγής, Πανεπιστήμιο Θεσσαλίας</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93F01" w14:textId="77777777" w:rsidR="00717299" w:rsidRDefault="00717299">
      <w:r>
        <w:separator/>
      </w:r>
    </w:p>
  </w:footnote>
  <w:footnote w:type="continuationSeparator" w:id="0">
    <w:p w14:paraId="18EF51A4" w14:textId="77777777" w:rsidR="00717299" w:rsidRDefault="007172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25pt;height:15.25pt" o:bullet="t">
        <v:imagedata r:id="rId1" o:title="art2B26"/>
      </v:shape>
    </w:pict>
  </w:numPicBullet>
  <w:numPicBullet w:numPicBulletId="1">
    <w:pict>
      <v:shape id="_x0000_i1030" type="#_x0000_t75" style="width:11.45pt;height:11.45pt" o:bullet="t">
        <v:imagedata r:id="rId2" o:title="msoED0B"/>
      </v:shape>
    </w:pict>
  </w:numPicBullet>
  <w:abstractNum w:abstractNumId="0">
    <w:nsid w:val="0C484B12"/>
    <w:multiLevelType w:val="hybridMultilevel"/>
    <w:tmpl w:val="D96C82D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D77B07"/>
    <w:multiLevelType w:val="hybridMultilevel"/>
    <w:tmpl w:val="64F68AC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E22A91"/>
    <w:multiLevelType w:val="hybridMultilevel"/>
    <w:tmpl w:val="77F0CD20"/>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9624E5"/>
    <w:multiLevelType w:val="multilevel"/>
    <w:tmpl w:val="3A5E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F4970"/>
    <w:multiLevelType w:val="multilevel"/>
    <w:tmpl w:val="344CA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D16728"/>
    <w:multiLevelType w:val="hybridMultilevel"/>
    <w:tmpl w:val="7482151A"/>
    <w:lvl w:ilvl="0" w:tplc="CFEA00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2A1E8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3A1BB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6016B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38361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06A53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832A8D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62C71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E4E05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4C1347A"/>
    <w:multiLevelType w:val="hybridMultilevel"/>
    <w:tmpl w:val="A0427DE0"/>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65A0A5B"/>
    <w:multiLevelType w:val="hybridMultilevel"/>
    <w:tmpl w:val="ED80F6BA"/>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9293606"/>
    <w:multiLevelType w:val="hybridMultilevel"/>
    <w:tmpl w:val="EC2021C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BAB02E1"/>
    <w:multiLevelType w:val="hybridMultilevel"/>
    <w:tmpl w:val="452C11B8"/>
    <w:lvl w:ilvl="0" w:tplc="02FCE258">
      <w:start w:val="1"/>
      <w:numFmt w:val="bullet"/>
      <w:lvlText w:val=""/>
      <w:lvlPicBulletId w:val="0"/>
      <w:lvlJc w:val="left"/>
      <w:pPr>
        <w:tabs>
          <w:tab w:val="num" w:pos="720"/>
        </w:tabs>
        <w:ind w:left="720" w:hanging="360"/>
      </w:pPr>
      <w:rPr>
        <w:rFonts w:ascii="Symbol" w:hAnsi="Symbol" w:hint="default"/>
      </w:rPr>
    </w:lvl>
    <w:lvl w:ilvl="1" w:tplc="CCE02588" w:tentative="1">
      <w:start w:val="1"/>
      <w:numFmt w:val="bullet"/>
      <w:lvlText w:val=""/>
      <w:lvlPicBulletId w:val="0"/>
      <w:lvlJc w:val="left"/>
      <w:pPr>
        <w:tabs>
          <w:tab w:val="num" w:pos="1440"/>
        </w:tabs>
        <w:ind w:left="1440" w:hanging="360"/>
      </w:pPr>
      <w:rPr>
        <w:rFonts w:ascii="Symbol" w:hAnsi="Symbol" w:hint="default"/>
      </w:rPr>
    </w:lvl>
    <w:lvl w:ilvl="2" w:tplc="44E2FEFE" w:tentative="1">
      <w:start w:val="1"/>
      <w:numFmt w:val="bullet"/>
      <w:lvlText w:val=""/>
      <w:lvlPicBulletId w:val="0"/>
      <w:lvlJc w:val="left"/>
      <w:pPr>
        <w:tabs>
          <w:tab w:val="num" w:pos="2160"/>
        </w:tabs>
        <w:ind w:left="2160" w:hanging="360"/>
      </w:pPr>
      <w:rPr>
        <w:rFonts w:ascii="Symbol" w:hAnsi="Symbol" w:hint="default"/>
      </w:rPr>
    </w:lvl>
    <w:lvl w:ilvl="3" w:tplc="ED4C27E2" w:tentative="1">
      <w:start w:val="1"/>
      <w:numFmt w:val="bullet"/>
      <w:lvlText w:val=""/>
      <w:lvlPicBulletId w:val="0"/>
      <w:lvlJc w:val="left"/>
      <w:pPr>
        <w:tabs>
          <w:tab w:val="num" w:pos="2880"/>
        </w:tabs>
        <w:ind w:left="2880" w:hanging="360"/>
      </w:pPr>
      <w:rPr>
        <w:rFonts w:ascii="Symbol" w:hAnsi="Symbol" w:hint="default"/>
      </w:rPr>
    </w:lvl>
    <w:lvl w:ilvl="4" w:tplc="5E4014E0" w:tentative="1">
      <w:start w:val="1"/>
      <w:numFmt w:val="bullet"/>
      <w:lvlText w:val=""/>
      <w:lvlPicBulletId w:val="0"/>
      <w:lvlJc w:val="left"/>
      <w:pPr>
        <w:tabs>
          <w:tab w:val="num" w:pos="3600"/>
        </w:tabs>
        <w:ind w:left="3600" w:hanging="360"/>
      </w:pPr>
      <w:rPr>
        <w:rFonts w:ascii="Symbol" w:hAnsi="Symbol" w:hint="default"/>
      </w:rPr>
    </w:lvl>
    <w:lvl w:ilvl="5" w:tplc="1EE8314E" w:tentative="1">
      <w:start w:val="1"/>
      <w:numFmt w:val="bullet"/>
      <w:lvlText w:val=""/>
      <w:lvlPicBulletId w:val="0"/>
      <w:lvlJc w:val="left"/>
      <w:pPr>
        <w:tabs>
          <w:tab w:val="num" w:pos="4320"/>
        </w:tabs>
        <w:ind w:left="4320" w:hanging="360"/>
      </w:pPr>
      <w:rPr>
        <w:rFonts w:ascii="Symbol" w:hAnsi="Symbol" w:hint="default"/>
      </w:rPr>
    </w:lvl>
    <w:lvl w:ilvl="6" w:tplc="D92E784E" w:tentative="1">
      <w:start w:val="1"/>
      <w:numFmt w:val="bullet"/>
      <w:lvlText w:val=""/>
      <w:lvlPicBulletId w:val="0"/>
      <w:lvlJc w:val="left"/>
      <w:pPr>
        <w:tabs>
          <w:tab w:val="num" w:pos="5040"/>
        </w:tabs>
        <w:ind w:left="5040" w:hanging="360"/>
      </w:pPr>
      <w:rPr>
        <w:rFonts w:ascii="Symbol" w:hAnsi="Symbol" w:hint="default"/>
      </w:rPr>
    </w:lvl>
    <w:lvl w:ilvl="7" w:tplc="DF042EBE" w:tentative="1">
      <w:start w:val="1"/>
      <w:numFmt w:val="bullet"/>
      <w:lvlText w:val=""/>
      <w:lvlPicBulletId w:val="0"/>
      <w:lvlJc w:val="left"/>
      <w:pPr>
        <w:tabs>
          <w:tab w:val="num" w:pos="5760"/>
        </w:tabs>
        <w:ind w:left="5760" w:hanging="360"/>
      </w:pPr>
      <w:rPr>
        <w:rFonts w:ascii="Symbol" w:hAnsi="Symbol" w:hint="default"/>
      </w:rPr>
    </w:lvl>
    <w:lvl w:ilvl="8" w:tplc="7AFC7226"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D7B15E7"/>
    <w:multiLevelType w:val="hybridMultilevel"/>
    <w:tmpl w:val="0B4848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08909C7"/>
    <w:multiLevelType w:val="hybridMultilevel"/>
    <w:tmpl w:val="B9F2F2A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960237E"/>
    <w:multiLevelType w:val="hybridMultilevel"/>
    <w:tmpl w:val="2A020B64"/>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A6B3E29"/>
    <w:multiLevelType w:val="hybridMultilevel"/>
    <w:tmpl w:val="20ACE39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B56695F"/>
    <w:multiLevelType w:val="hybridMultilevel"/>
    <w:tmpl w:val="0BBC94B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989193A"/>
    <w:multiLevelType w:val="hybridMultilevel"/>
    <w:tmpl w:val="F8D842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CA85EBA"/>
    <w:multiLevelType w:val="hybridMultilevel"/>
    <w:tmpl w:val="A47CC3FC"/>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D80477B"/>
    <w:multiLevelType w:val="hybridMultilevel"/>
    <w:tmpl w:val="4964EE7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0E7485D"/>
    <w:multiLevelType w:val="hybridMultilevel"/>
    <w:tmpl w:val="C0F65494"/>
    <w:lvl w:ilvl="0" w:tplc="442A8ABC">
      <w:start w:val="1"/>
      <w:numFmt w:val="bullet"/>
      <w:lvlText w:val=""/>
      <w:lvlPicBulletId w:val="0"/>
      <w:lvlJc w:val="left"/>
      <w:pPr>
        <w:tabs>
          <w:tab w:val="num" w:pos="720"/>
        </w:tabs>
        <w:ind w:left="720" w:hanging="360"/>
      </w:pPr>
      <w:rPr>
        <w:rFonts w:ascii="Symbol" w:hAnsi="Symbol" w:hint="default"/>
      </w:rPr>
    </w:lvl>
    <w:lvl w:ilvl="1" w:tplc="E6DC49A4" w:tentative="1">
      <w:start w:val="1"/>
      <w:numFmt w:val="bullet"/>
      <w:lvlText w:val=""/>
      <w:lvlPicBulletId w:val="0"/>
      <w:lvlJc w:val="left"/>
      <w:pPr>
        <w:tabs>
          <w:tab w:val="num" w:pos="1440"/>
        </w:tabs>
        <w:ind w:left="1440" w:hanging="360"/>
      </w:pPr>
      <w:rPr>
        <w:rFonts w:ascii="Symbol" w:hAnsi="Symbol" w:hint="default"/>
      </w:rPr>
    </w:lvl>
    <w:lvl w:ilvl="2" w:tplc="982E89D6" w:tentative="1">
      <w:start w:val="1"/>
      <w:numFmt w:val="bullet"/>
      <w:lvlText w:val=""/>
      <w:lvlPicBulletId w:val="0"/>
      <w:lvlJc w:val="left"/>
      <w:pPr>
        <w:tabs>
          <w:tab w:val="num" w:pos="2160"/>
        </w:tabs>
        <w:ind w:left="2160" w:hanging="360"/>
      </w:pPr>
      <w:rPr>
        <w:rFonts w:ascii="Symbol" w:hAnsi="Symbol" w:hint="default"/>
      </w:rPr>
    </w:lvl>
    <w:lvl w:ilvl="3" w:tplc="69C06AB6" w:tentative="1">
      <w:start w:val="1"/>
      <w:numFmt w:val="bullet"/>
      <w:lvlText w:val=""/>
      <w:lvlPicBulletId w:val="0"/>
      <w:lvlJc w:val="left"/>
      <w:pPr>
        <w:tabs>
          <w:tab w:val="num" w:pos="2880"/>
        </w:tabs>
        <w:ind w:left="2880" w:hanging="360"/>
      </w:pPr>
      <w:rPr>
        <w:rFonts w:ascii="Symbol" w:hAnsi="Symbol" w:hint="default"/>
      </w:rPr>
    </w:lvl>
    <w:lvl w:ilvl="4" w:tplc="5798B85A" w:tentative="1">
      <w:start w:val="1"/>
      <w:numFmt w:val="bullet"/>
      <w:lvlText w:val=""/>
      <w:lvlPicBulletId w:val="0"/>
      <w:lvlJc w:val="left"/>
      <w:pPr>
        <w:tabs>
          <w:tab w:val="num" w:pos="3600"/>
        </w:tabs>
        <w:ind w:left="3600" w:hanging="360"/>
      </w:pPr>
      <w:rPr>
        <w:rFonts w:ascii="Symbol" w:hAnsi="Symbol" w:hint="default"/>
      </w:rPr>
    </w:lvl>
    <w:lvl w:ilvl="5" w:tplc="D7F44EC8" w:tentative="1">
      <w:start w:val="1"/>
      <w:numFmt w:val="bullet"/>
      <w:lvlText w:val=""/>
      <w:lvlPicBulletId w:val="0"/>
      <w:lvlJc w:val="left"/>
      <w:pPr>
        <w:tabs>
          <w:tab w:val="num" w:pos="4320"/>
        </w:tabs>
        <w:ind w:left="4320" w:hanging="360"/>
      </w:pPr>
      <w:rPr>
        <w:rFonts w:ascii="Symbol" w:hAnsi="Symbol" w:hint="default"/>
      </w:rPr>
    </w:lvl>
    <w:lvl w:ilvl="6" w:tplc="A998AAA0" w:tentative="1">
      <w:start w:val="1"/>
      <w:numFmt w:val="bullet"/>
      <w:lvlText w:val=""/>
      <w:lvlPicBulletId w:val="0"/>
      <w:lvlJc w:val="left"/>
      <w:pPr>
        <w:tabs>
          <w:tab w:val="num" w:pos="5040"/>
        </w:tabs>
        <w:ind w:left="5040" w:hanging="360"/>
      </w:pPr>
      <w:rPr>
        <w:rFonts w:ascii="Symbol" w:hAnsi="Symbol" w:hint="default"/>
      </w:rPr>
    </w:lvl>
    <w:lvl w:ilvl="7" w:tplc="38AECCC0" w:tentative="1">
      <w:start w:val="1"/>
      <w:numFmt w:val="bullet"/>
      <w:lvlText w:val=""/>
      <w:lvlPicBulletId w:val="0"/>
      <w:lvlJc w:val="left"/>
      <w:pPr>
        <w:tabs>
          <w:tab w:val="num" w:pos="5760"/>
        </w:tabs>
        <w:ind w:left="5760" w:hanging="360"/>
      </w:pPr>
      <w:rPr>
        <w:rFonts w:ascii="Symbol" w:hAnsi="Symbol" w:hint="default"/>
      </w:rPr>
    </w:lvl>
    <w:lvl w:ilvl="8" w:tplc="802CA30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681E2445"/>
    <w:multiLevelType w:val="hybridMultilevel"/>
    <w:tmpl w:val="6C68716E"/>
    <w:lvl w:ilvl="0" w:tplc="1DE42F94">
      <w:start w:val="1"/>
      <w:numFmt w:val="bullet"/>
      <w:lvlText w:val=""/>
      <w:lvlPicBulletId w:val="0"/>
      <w:lvlJc w:val="left"/>
      <w:pPr>
        <w:tabs>
          <w:tab w:val="num" w:pos="720"/>
        </w:tabs>
        <w:ind w:left="720" w:hanging="360"/>
      </w:pPr>
      <w:rPr>
        <w:rFonts w:ascii="Symbol" w:hAnsi="Symbol" w:hint="default"/>
      </w:rPr>
    </w:lvl>
    <w:lvl w:ilvl="1" w:tplc="A9DE59E6" w:tentative="1">
      <w:start w:val="1"/>
      <w:numFmt w:val="bullet"/>
      <w:lvlText w:val=""/>
      <w:lvlPicBulletId w:val="0"/>
      <w:lvlJc w:val="left"/>
      <w:pPr>
        <w:tabs>
          <w:tab w:val="num" w:pos="1440"/>
        </w:tabs>
        <w:ind w:left="1440" w:hanging="360"/>
      </w:pPr>
      <w:rPr>
        <w:rFonts w:ascii="Symbol" w:hAnsi="Symbol" w:hint="default"/>
      </w:rPr>
    </w:lvl>
    <w:lvl w:ilvl="2" w:tplc="548E4B3C" w:tentative="1">
      <w:start w:val="1"/>
      <w:numFmt w:val="bullet"/>
      <w:lvlText w:val=""/>
      <w:lvlPicBulletId w:val="0"/>
      <w:lvlJc w:val="left"/>
      <w:pPr>
        <w:tabs>
          <w:tab w:val="num" w:pos="2160"/>
        </w:tabs>
        <w:ind w:left="2160" w:hanging="360"/>
      </w:pPr>
      <w:rPr>
        <w:rFonts w:ascii="Symbol" w:hAnsi="Symbol" w:hint="default"/>
      </w:rPr>
    </w:lvl>
    <w:lvl w:ilvl="3" w:tplc="A0E27BD0" w:tentative="1">
      <w:start w:val="1"/>
      <w:numFmt w:val="bullet"/>
      <w:lvlText w:val=""/>
      <w:lvlPicBulletId w:val="0"/>
      <w:lvlJc w:val="left"/>
      <w:pPr>
        <w:tabs>
          <w:tab w:val="num" w:pos="2880"/>
        </w:tabs>
        <w:ind w:left="2880" w:hanging="360"/>
      </w:pPr>
      <w:rPr>
        <w:rFonts w:ascii="Symbol" w:hAnsi="Symbol" w:hint="default"/>
      </w:rPr>
    </w:lvl>
    <w:lvl w:ilvl="4" w:tplc="4D8AFB8E" w:tentative="1">
      <w:start w:val="1"/>
      <w:numFmt w:val="bullet"/>
      <w:lvlText w:val=""/>
      <w:lvlPicBulletId w:val="0"/>
      <w:lvlJc w:val="left"/>
      <w:pPr>
        <w:tabs>
          <w:tab w:val="num" w:pos="3600"/>
        </w:tabs>
        <w:ind w:left="3600" w:hanging="360"/>
      </w:pPr>
      <w:rPr>
        <w:rFonts w:ascii="Symbol" w:hAnsi="Symbol" w:hint="default"/>
      </w:rPr>
    </w:lvl>
    <w:lvl w:ilvl="5" w:tplc="310AA328" w:tentative="1">
      <w:start w:val="1"/>
      <w:numFmt w:val="bullet"/>
      <w:lvlText w:val=""/>
      <w:lvlPicBulletId w:val="0"/>
      <w:lvlJc w:val="left"/>
      <w:pPr>
        <w:tabs>
          <w:tab w:val="num" w:pos="4320"/>
        </w:tabs>
        <w:ind w:left="4320" w:hanging="360"/>
      </w:pPr>
      <w:rPr>
        <w:rFonts w:ascii="Symbol" w:hAnsi="Symbol" w:hint="default"/>
      </w:rPr>
    </w:lvl>
    <w:lvl w:ilvl="6" w:tplc="CF22F40E" w:tentative="1">
      <w:start w:val="1"/>
      <w:numFmt w:val="bullet"/>
      <w:lvlText w:val=""/>
      <w:lvlPicBulletId w:val="0"/>
      <w:lvlJc w:val="left"/>
      <w:pPr>
        <w:tabs>
          <w:tab w:val="num" w:pos="5040"/>
        </w:tabs>
        <w:ind w:left="5040" w:hanging="360"/>
      </w:pPr>
      <w:rPr>
        <w:rFonts w:ascii="Symbol" w:hAnsi="Symbol" w:hint="default"/>
      </w:rPr>
    </w:lvl>
    <w:lvl w:ilvl="7" w:tplc="5D5063BE" w:tentative="1">
      <w:start w:val="1"/>
      <w:numFmt w:val="bullet"/>
      <w:lvlText w:val=""/>
      <w:lvlPicBulletId w:val="0"/>
      <w:lvlJc w:val="left"/>
      <w:pPr>
        <w:tabs>
          <w:tab w:val="num" w:pos="5760"/>
        </w:tabs>
        <w:ind w:left="5760" w:hanging="360"/>
      </w:pPr>
      <w:rPr>
        <w:rFonts w:ascii="Symbol" w:hAnsi="Symbol" w:hint="default"/>
      </w:rPr>
    </w:lvl>
    <w:lvl w:ilvl="8" w:tplc="DEB0B65C"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6B672D6F"/>
    <w:multiLevelType w:val="hybridMultilevel"/>
    <w:tmpl w:val="6AC6C886"/>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6D150A82"/>
    <w:multiLevelType w:val="hybridMultilevel"/>
    <w:tmpl w:val="470C2A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1103190"/>
    <w:multiLevelType w:val="hybridMultilevel"/>
    <w:tmpl w:val="5636C9C2"/>
    <w:lvl w:ilvl="0" w:tplc="9702CD9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3AE75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60A84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9423A0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5C7C0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74E7F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C0F01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5600E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CEB8C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729331A8"/>
    <w:multiLevelType w:val="hybridMultilevel"/>
    <w:tmpl w:val="65AC18C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F941CFF"/>
    <w:multiLevelType w:val="hybridMultilevel"/>
    <w:tmpl w:val="201E7BC8"/>
    <w:lvl w:ilvl="0" w:tplc="219CB036">
      <w:start w:val="1"/>
      <w:numFmt w:val="bullet"/>
      <w:lvlText w:val=""/>
      <w:lvlPicBulletId w:val="0"/>
      <w:lvlJc w:val="left"/>
      <w:pPr>
        <w:tabs>
          <w:tab w:val="num" w:pos="720"/>
        </w:tabs>
        <w:ind w:left="720" w:hanging="360"/>
      </w:pPr>
      <w:rPr>
        <w:rFonts w:ascii="Symbol" w:hAnsi="Symbol" w:hint="default"/>
      </w:rPr>
    </w:lvl>
    <w:lvl w:ilvl="1" w:tplc="86E21FB8" w:tentative="1">
      <w:start w:val="1"/>
      <w:numFmt w:val="bullet"/>
      <w:lvlText w:val=""/>
      <w:lvlPicBulletId w:val="0"/>
      <w:lvlJc w:val="left"/>
      <w:pPr>
        <w:tabs>
          <w:tab w:val="num" w:pos="1440"/>
        </w:tabs>
        <w:ind w:left="1440" w:hanging="360"/>
      </w:pPr>
      <w:rPr>
        <w:rFonts w:ascii="Symbol" w:hAnsi="Symbol" w:hint="default"/>
      </w:rPr>
    </w:lvl>
    <w:lvl w:ilvl="2" w:tplc="37229E04" w:tentative="1">
      <w:start w:val="1"/>
      <w:numFmt w:val="bullet"/>
      <w:lvlText w:val=""/>
      <w:lvlPicBulletId w:val="0"/>
      <w:lvlJc w:val="left"/>
      <w:pPr>
        <w:tabs>
          <w:tab w:val="num" w:pos="2160"/>
        </w:tabs>
        <w:ind w:left="2160" w:hanging="360"/>
      </w:pPr>
      <w:rPr>
        <w:rFonts w:ascii="Symbol" w:hAnsi="Symbol" w:hint="default"/>
      </w:rPr>
    </w:lvl>
    <w:lvl w:ilvl="3" w:tplc="8E6C39E4" w:tentative="1">
      <w:start w:val="1"/>
      <w:numFmt w:val="bullet"/>
      <w:lvlText w:val=""/>
      <w:lvlPicBulletId w:val="0"/>
      <w:lvlJc w:val="left"/>
      <w:pPr>
        <w:tabs>
          <w:tab w:val="num" w:pos="2880"/>
        </w:tabs>
        <w:ind w:left="2880" w:hanging="360"/>
      </w:pPr>
      <w:rPr>
        <w:rFonts w:ascii="Symbol" w:hAnsi="Symbol" w:hint="default"/>
      </w:rPr>
    </w:lvl>
    <w:lvl w:ilvl="4" w:tplc="3CF86ABA" w:tentative="1">
      <w:start w:val="1"/>
      <w:numFmt w:val="bullet"/>
      <w:lvlText w:val=""/>
      <w:lvlPicBulletId w:val="0"/>
      <w:lvlJc w:val="left"/>
      <w:pPr>
        <w:tabs>
          <w:tab w:val="num" w:pos="3600"/>
        </w:tabs>
        <w:ind w:left="3600" w:hanging="360"/>
      </w:pPr>
      <w:rPr>
        <w:rFonts w:ascii="Symbol" w:hAnsi="Symbol" w:hint="default"/>
      </w:rPr>
    </w:lvl>
    <w:lvl w:ilvl="5" w:tplc="CA1C3C52" w:tentative="1">
      <w:start w:val="1"/>
      <w:numFmt w:val="bullet"/>
      <w:lvlText w:val=""/>
      <w:lvlPicBulletId w:val="0"/>
      <w:lvlJc w:val="left"/>
      <w:pPr>
        <w:tabs>
          <w:tab w:val="num" w:pos="4320"/>
        </w:tabs>
        <w:ind w:left="4320" w:hanging="360"/>
      </w:pPr>
      <w:rPr>
        <w:rFonts w:ascii="Symbol" w:hAnsi="Symbol" w:hint="default"/>
      </w:rPr>
    </w:lvl>
    <w:lvl w:ilvl="6" w:tplc="9A402A68" w:tentative="1">
      <w:start w:val="1"/>
      <w:numFmt w:val="bullet"/>
      <w:lvlText w:val=""/>
      <w:lvlPicBulletId w:val="0"/>
      <w:lvlJc w:val="left"/>
      <w:pPr>
        <w:tabs>
          <w:tab w:val="num" w:pos="5040"/>
        </w:tabs>
        <w:ind w:left="5040" w:hanging="360"/>
      </w:pPr>
      <w:rPr>
        <w:rFonts w:ascii="Symbol" w:hAnsi="Symbol" w:hint="default"/>
      </w:rPr>
    </w:lvl>
    <w:lvl w:ilvl="7" w:tplc="1EE21092" w:tentative="1">
      <w:start w:val="1"/>
      <w:numFmt w:val="bullet"/>
      <w:lvlText w:val=""/>
      <w:lvlPicBulletId w:val="0"/>
      <w:lvlJc w:val="left"/>
      <w:pPr>
        <w:tabs>
          <w:tab w:val="num" w:pos="5760"/>
        </w:tabs>
        <w:ind w:left="5760" w:hanging="360"/>
      </w:pPr>
      <w:rPr>
        <w:rFonts w:ascii="Symbol" w:hAnsi="Symbol" w:hint="default"/>
      </w:rPr>
    </w:lvl>
    <w:lvl w:ilvl="8" w:tplc="27E02C8C"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7FB219F1"/>
    <w:multiLevelType w:val="multilevel"/>
    <w:tmpl w:val="F4503CD2"/>
    <w:lvl w:ilvl="0">
      <w:start w:val="1"/>
      <w:numFmt w:val="decimal"/>
      <w:lvlText w:val="%1."/>
      <w:lvlJc w:val="left"/>
      <w:pPr>
        <w:ind w:left="360" w:hanging="360"/>
      </w:pPr>
      <w:rPr>
        <w:rFonts w:eastAsia="Arial Unicode MS" w:cs="Arial Unicode MS" w:hint="default"/>
      </w:rPr>
    </w:lvl>
    <w:lvl w:ilvl="1">
      <w:start w:val="1"/>
      <w:numFmt w:val="decimal"/>
      <w:lvlText w:val="%1.%2."/>
      <w:lvlJc w:val="left"/>
      <w:pPr>
        <w:ind w:left="360" w:hanging="360"/>
      </w:pPr>
      <w:rPr>
        <w:rFonts w:eastAsia="Arial Unicode MS" w:cs="Arial Unicode MS" w:hint="default"/>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720" w:hanging="72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080" w:hanging="1080"/>
      </w:pPr>
      <w:rPr>
        <w:rFonts w:eastAsia="Arial Unicode MS" w:cs="Arial Unicode MS" w:hint="default"/>
      </w:rPr>
    </w:lvl>
    <w:lvl w:ilvl="6">
      <w:start w:val="1"/>
      <w:numFmt w:val="decimal"/>
      <w:lvlText w:val="%1.%2.%3.%4.%5.%6.%7."/>
      <w:lvlJc w:val="left"/>
      <w:pPr>
        <w:ind w:left="1440" w:hanging="1440"/>
      </w:pPr>
      <w:rPr>
        <w:rFonts w:eastAsia="Arial Unicode MS" w:cs="Arial Unicode MS" w:hint="default"/>
      </w:rPr>
    </w:lvl>
    <w:lvl w:ilvl="7">
      <w:start w:val="1"/>
      <w:numFmt w:val="decimal"/>
      <w:lvlText w:val="%1.%2.%3.%4.%5.%6.%7.%8."/>
      <w:lvlJc w:val="left"/>
      <w:pPr>
        <w:ind w:left="1440" w:hanging="1440"/>
      </w:pPr>
      <w:rPr>
        <w:rFonts w:eastAsia="Arial Unicode MS" w:cs="Arial Unicode MS" w:hint="default"/>
      </w:rPr>
    </w:lvl>
    <w:lvl w:ilvl="8">
      <w:start w:val="1"/>
      <w:numFmt w:val="decimal"/>
      <w:lvlText w:val="%1.%2.%3.%4.%5.%6.%7.%8.%9."/>
      <w:lvlJc w:val="left"/>
      <w:pPr>
        <w:ind w:left="1800" w:hanging="1800"/>
      </w:pPr>
      <w:rPr>
        <w:rFonts w:eastAsia="Arial Unicode MS" w:cs="Arial Unicode MS" w:hint="default"/>
      </w:rPr>
    </w:lvl>
  </w:abstractNum>
  <w:num w:numId="1">
    <w:abstractNumId w:val="22"/>
  </w:num>
  <w:num w:numId="2">
    <w:abstractNumId w:val="5"/>
  </w:num>
  <w:num w:numId="3">
    <w:abstractNumId w:val="25"/>
  </w:num>
  <w:num w:numId="4">
    <w:abstractNumId w:val="4"/>
  </w:num>
  <w:num w:numId="5">
    <w:abstractNumId w:val="9"/>
  </w:num>
  <w:num w:numId="6">
    <w:abstractNumId w:val="18"/>
  </w:num>
  <w:num w:numId="7">
    <w:abstractNumId w:val="24"/>
  </w:num>
  <w:num w:numId="8">
    <w:abstractNumId w:val="19"/>
  </w:num>
  <w:num w:numId="9">
    <w:abstractNumId w:val="12"/>
  </w:num>
  <w:num w:numId="10">
    <w:abstractNumId w:val="16"/>
  </w:num>
  <w:num w:numId="11">
    <w:abstractNumId w:val="7"/>
  </w:num>
  <w:num w:numId="12">
    <w:abstractNumId w:val="2"/>
  </w:num>
  <w:num w:numId="13">
    <w:abstractNumId w:val="6"/>
  </w:num>
  <w:num w:numId="14">
    <w:abstractNumId w:val="10"/>
  </w:num>
  <w:num w:numId="15">
    <w:abstractNumId w:val="17"/>
  </w:num>
  <w:num w:numId="16">
    <w:abstractNumId w:val="23"/>
  </w:num>
  <w:num w:numId="17">
    <w:abstractNumId w:val="8"/>
  </w:num>
  <w:num w:numId="18">
    <w:abstractNumId w:val="0"/>
  </w:num>
  <w:num w:numId="19">
    <w:abstractNumId w:val="14"/>
  </w:num>
  <w:num w:numId="20">
    <w:abstractNumId w:val="20"/>
  </w:num>
  <w:num w:numId="21">
    <w:abstractNumId w:val="1"/>
  </w:num>
  <w:num w:numId="22">
    <w:abstractNumId w:val="21"/>
  </w:num>
  <w:num w:numId="23">
    <w:abstractNumId w:val="11"/>
  </w:num>
  <w:num w:numId="24">
    <w:abstractNumId w:val="13"/>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44"/>
    <w:rsid w:val="000015FF"/>
    <w:rsid w:val="0000286E"/>
    <w:rsid w:val="00022B26"/>
    <w:rsid w:val="0003303F"/>
    <w:rsid w:val="00035044"/>
    <w:rsid w:val="00040CBE"/>
    <w:rsid w:val="00044937"/>
    <w:rsid w:val="000454A3"/>
    <w:rsid w:val="0007126C"/>
    <w:rsid w:val="000920ED"/>
    <w:rsid w:val="000939D9"/>
    <w:rsid w:val="000D7ECA"/>
    <w:rsid w:val="000E574C"/>
    <w:rsid w:val="00105DCD"/>
    <w:rsid w:val="0010650B"/>
    <w:rsid w:val="0011027F"/>
    <w:rsid w:val="00145885"/>
    <w:rsid w:val="00166CFB"/>
    <w:rsid w:val="001B4AD9"/>
    <w:rsid w:val="001C0D6F"/>
    <w:rsid w:val="001E5B56"/>
    <w:rsid w:val="00227A79"/>
    <w:rsid w:val="00235340"/>
    <w:rsid w:val="002A3301"/>
    <w:rsid w:val="002D3A6A"/>
    <w:rsid w:val="002D5E1D"/>
    <w:rsid w:val="002F50F3"/>
    <w:rsid w:val="00370F28"/>
    <w:rsid w:val="003A590E"/>
    <w:rsid w:val="003C1DB3"/>
    <w:rsid w:val="004123C1"/>
    <w:rsid w:val="00415218"/>
    <w:rsid w:val="004250AC"/>
    <w:rsid w:val="00435E39"/>
    <w:rsid w:val="004752D4"/>
    <w:rsid w:val="004767E0"/>
    <w:rsid w:val="00490CC8"/>
    <w:rsid w:val="004C21BF"/>
    <w:rsid w:val="004F13F4"/>
    <w:rsid w:val="00516745"/>
    <w:rsid w:val="00535AA5"/>
    <w:rsid w:val="00553442"/>
    <w:rsid w:val="00565B44"/>
    <w:rsid w:val="00593083"/>
    <w:rsid w:val="0059679A"/>
    <w:rsid w:val="005A15DE"/>
    <w:rsid w:val="005A7250"/>
    <w:rsid w:val="005C50F8"/>
    <w:rsid w:val="0060124C"/>
    <w:rsid w:val="006104E3"/>
    <w:rsid w:val="0061401B"/>
    <w:rsid w:val="00651E5C"/>
    <w:rsid w:val="00673FBB"/>
    <w:rsid w:val="00697FB6"/>
    <w:rsid w:val="006A1DD3"/>
    <w:rsid w:val="006A4139"/>
    <w:rsid w:val="006E1CE0"/>
    <w:rsid w:val="00717299"/>
    <w:rsid w:val="0072253A"/>
    <w:rsid w:val="0075035A"/>
    <w:rsid w:val="00753F5E"/>
    <w:rsid w:val="0075567F"/>
    <w:rsid w:val="00760431"/>
    <w:rsid w:val="008273D7"/>
    <w:rsid w:val="008532F4"/>
    <w:rsid w:val="008574CD"/>
    <w:rsid w:val="008A48ED"/>
    <w:rsid w:val="008D3B6A"/>
    <w:rsid w:val="008D62E7"/>
    <w:rsid w:val="00901ABD"/>
    <w:rsid w:val="00913686"/>
    <w:rsid w:val="00A31542"/>
    <w:rsid w:val="00A40E58"/>
    <w:rsid w:val="00A4339F"/>
    <w:rsid w:val="00A51AEC"/>
    <w:rsid w:val="00A63283"/>
    <w:rsid w:val="00A7259D"/>
    <w:rsid w:val="00A73D01"/>
    <w:rsid w:val="00A77E2A"/>
    <w:rsid w:val="00A84762"/>
    <w:rsid w:val="00A84D22"/>
    <w:rsid w:val="00A86231"/>
    <w:rsid w:val="00AD60D1"/>
    <w:rsid w:val="00B106DC"/>
    <w:rsid w:val="00B23902"/>
    <w:rsid w:val="00B2426D"/>
    <w:rsid w:val="00B91359"/>
    <w:rsid w:val="00BA321E"/>
    <w:rsid w:val="00BA5AB1"/>
    <w:rsid w:val="00BD0725"/>
    <w:rsid w:val="00C02960"/>
    <w:rsid w:val="00C13DF9"/>
    <w:rsid w:val="00C24BC7"/>
    <w:rsid w:val="00C25F6A"/>
    <w:rsid w:val="00C55344"/>
    <w:rsid w:val="00C67F9B"/>
    <w:rsid w:val="00C71893"/>
    <w:rsid w:val="00C75378"/>
    <w:rsid w:val="00CB607C"/>
    <w:rsid w:val="00CF6179"/>
    <w:rsid w:val="00CF753E"/>
    <w:rsid w:val="00D40DEB"/>
    <w:rsid w:val="00D46EB9"/>
    <w:rsid w:val="00D56401"/>
    <w:rsid w:val="00DB6AE0"/>
    <w:rsid w:val="00DB76AC"/>
    <w:rsid w:val="00DB7908"/>
    <w:rsid w:val="00DC1DB6"/>
    <w:rsid w:val="00E16FA6"/>
    <w:rsid w:val="00E74633"/>
    <w:rsid w:val="00E8344A"/>
    <w:rsid w:val="00E91EAA"/>
    <w:rsid w:val="00EA3D21"/>
    <w:rsid w:val="00EC31AF"/>
    <w:rsid w:val="00EF4187"/>
    <w:rsid w:val="00F662AF"/>
    <w:rsid w:val="00F6664C"/>
    <w:rsid w:val="00FD1046"/>
    <w:rsid w:val="00FE3E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FBF33"/>
  <w15:docId w15:val="{BAAC76E8-DA7B-45B4-BC40-E61E4CE0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A73D01"/>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Κύριο τμήμα"/>
    <w:rPr>
      <w:rFonts w:ascii="Helvetica Neue" w:hAnsi="Helvetica Neue" w:cs="Arial Unicode MS"/>
      <w:color w:val="000000"/>
      <w:sz w:val="22"/>
      <w:szCs w:val="22"/>
    </w:rPr>
  </w:style>
  <w:style w:type="paragraph" w:customStyle="1" w:styleId="a0">
    <w:name w:val="Προεπιλογή"/>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490CC8"/>
    <w:pPr>
      <w:tabs>
        <w:tab w:val="center" w:pos="4153"/>
        <w:tab w:val="right" w:pos="8306"/>
      </w:tabs>
    </w:pPr>
  </w:style>
  <w:style w:type="character" w:customStyle="1" w:styleId="HeaderChar">
    <w:name w:val="Header Char"/>
    <w:basedOn w:val="DefaultParagraphFont"/>
    <w:link w:val="Header"/>
    <w:uiPriority w:val="99"/>
    <w:rsid w:val="00490CC8"/>
    <w:rPr>
      <w:sz w:val="24"/>
      <w:szCs w:val="24"/>
      <w:lang w:val="en-US" w:eastAsia="en-US"/>
    </w:rPr>
  </w:style>
  <w:style w:type="paragraph" w:styleId="Footer">
    <w:name w:val="footer"/>
    <w:basedOn w:val="Normal"/>
    <w:link w:val="FooterChar"/>
    <w:uiPriority w:val="99"/>
    <w:unhideWhenUsed/>
    <w:rsid w:val="00490CC8"/>
    <w:pPr>
      <w:tabs>
        <w:tab w:val="center" w:pos="4153"/>
        <w:tab w:val="right" w:pos="8306"/>
      </w:tabs>
    </w:pPr>
  </w:style>
  <w:style w:type="character" w:customStyle="1" w:styleId="FooterChar">
    <w:name w:val="Footer Char"/>
    <w:basedOn w:val="DefaultParagraphFont"/>
    <w:link w:val="Footer"/>
    <w:uiPriority w:val="99"/>
    <w:rsid w:val="00490CC8"/>
    <w:rPr>
      <w:sz w:val="24"/>
      <w:szCs w:val="24"/>
      <w:lang w:val="en-US" w:eastAsia="en-US"/>
    </w:rPr>
  </w:style>
  <w:style w:type="paragraph" w:styleId="ListParagraph">
    <w:name w:val="List Paragraph"/>
    <w:basedOn w:val="Normal"/>
    <w:uiPriority w:val="34"/>
    <w:qFormat/>
    <w:rsid w:val="0061401B"/>
    <w:pPr>
      <w:ind w:left="720"/>
      <w:contextualSpacing/>
    </w:pPr>
  </w:style>
  <w:style w:type="paragraph" w:styleId="IntenseQuote">
    <w:name w:val="Intense Quote"/>
    <w:basedOn w:val="Normal"/>
    <w:next w:val="Normal"/>
    <w:link w:val="IntenseQuoteChar"/>
    <w:uiPriority w:val="30"/>
    <w:qFormat/>
    <w:rsid w:val="005A7250"/>
    <w:pPr>
      <w:pBdr>
        <w:top w:val="single" w:sz="4" w:space="10" w:color="00A2FF" w:themeColor="accent1"/>
        <w:bottom w:val="single" w:sz="4" w:space="10" w:color="00A2FF" w:themeColor="accent1"/>
      </w:pBdr>
      <w:spacing w:before="360" w:after="360"/>
      <w:ind w:left="864" w:right="864"/>
      <w:jc w:val="center"/>
    </w:pPr>
    <w:rPr>
      <w:i/>
      <w:iCs/>
      <w:color w:val="00A2FF" w:themeColor="accent1"/>
    </w:rPr>
  </w:style>
  <w:style w:type="character" w:customStyle="1" w:styleId="IntenseQuoteChar">
    <w:name w:val="Intense Quote Char"/>
    <w:basedOn w:val="DefaultParagraphFont"/>
    <w:link w:val="IntenseQuote"/>
    <w:uiPriority w:val="30"/>
    <w:rsid w:val="005A7250"/>
    <w:rPr>
      <w:i/>
      <w:iCs/>
      <w:color w:val="00A2FF" w:themeColor="accent1"/>
      <w:sz w:val="24"/>
      <w:szCs w:val="24"/>
      <w:lang w:val="en-US" w:eastAsia="en-US"/>
    </w:rPr>
  </w:style>
  <w:style w:type="paragraph" w:styleId="Subtitle">
    <w:name w:val="Subtitle"/>
    <w:basedOn w:val="Normal"/>
    <w:next w:val="Normal"/>
    <w:link w:val="SubtitleChar"/>
    <w:uiPriority w:val="11"/>
    <w:qFormat/>
    <w:rsid w:val="005A72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A7250"/>
    <w:rPr>
      <w:rFonts w:asciiTheme="minorHAnsi" w:eastAsiaTheme="minorEastAsia" w:hAnsiTheme="minorHAnsi" w:cstheme="minorBidi"/>
      <w:color w:val="5A5A5A" w:themeColor="text1" w:themeTint="A5"/>
      <w:spacing w:val="15"/>
      <w:sz w:val="22"/>
      <w:szCs w:val="22"/>
      <w:lang w:val="en-US" w:eastAsia="en-US"/>
    </w:rPr>
  </w:style>
  <w:style w:type="paragraph" w:styleId="NoSpacing">
    <w:name w:val="No Spacing"/>
    <w:uiPriority w:val="1"/>
    <w:qFormat/>
    <w:rsid w:val="005A7250"/>
    <w:rPr>
      <w:sz w:val="24"/>
      <w:szCs w:val="24"/>
      <w:lang w:val="en-US" w:eastAsia="en-US"/>
    </w:rPr>
  </w:style>
  <w:style w:type="character" w:customStyle="1" w:styleId="Heading1Char">
    <w:name w:val="Heading 1 Char"/>
    <w:basedOn w:val="DefaultParagraphFont"/>
    <w:link w:val="Heading1"/>
    <w:uiPriority w:val="9"/>
    <w:rsid w:val="00A73D01"/>
    <w:rPr>
      <w:rFonts w:asciiTheme="majorHAnsi" w:eastAsiaTheme="majorEastAsia" w:hAnsiTheme="majorHAnsi" w:cstheme="majorBidi"/>
      <w:color w:val="0079BF"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44430">
      <w:bodyDiv w:val="1"/>
      <w:marLeft w:val="0"/>
      <w:marRight w:val="0"/>
      <w:marTop w:val="0"/>
      <w:marBottom w:val="0"/>
      <w:divBdr>
        <w:top w:val="none" w:sz="0" w:space="0" w:color="auto"/>
        <w:left w:val="none" w:sz="0" w:space="0" w:color="auto"/>
        <w:bottom w:val="none" w:sz="0" w:space="0" w:color="auto"/>
        <w:right w:val="none" w:sz="0" w:space="0" w:color="auto"/>
      </w:divBdr>
      <w:divsChild>
        <w:div w:id="2127658001">
          <w:marLeft w:val="0"/>
          <w:marRight w:val="0"/>
          <w:marTop w:val="0"/>
          <w:marBottom w:val="0"/>
          <w:divBdr>
            <w:top w:val="none" w:sz="0" w:space="0" w:color="auto"/>
            <w:left w:val="none" w:sz="0" w:space="0" w:color="auto"/>
            <w:bottom w:val="none" w:sz="0" w:space="0" w:color="auto"/>
            <w:right w:val="none" w:sz="0" w:space="0" w:color="auto"/>
          </w:divBdr>
          <w:divsChild>
            <w:div w:id="1877545595">
              <w:marLeft w:val="0"/>
              <w:marRight w:val="0"/>
              <w:marTop w:val="0"/>
              <w:marBottom w:val="0"/>
              <w:divBdr>
                <w:top w:val="none" w:sz="0" w:space="0" w:color="auto"/>
                <w:left w:val="none" w:sz="0" w:space="0" w:color="auto"/>
                <w:bottom w:val="none" w:sz="0" w:space="0" w:color="auto"/>
                <w:right w:val="none" w:sz="0" w:space="0" w:color="auto"/>
              </w:divBdr>
              <w:divsChild>
                <w:div w:id="120224119">
                  <w:marLeft w:val="0"/>
                  <w:marRight w:val="0"/>
                  <w:marTop w:val="0"/>
                  <w:marBottom w:val="0"/>
                  <w:divBdr>
                    <w:top w:val="none" w:sz="0" w:space="0" w:color="auto"/>
                    <w:left w:val="none" w:sz="0" w:space="0" w:color="auto"/>
                    <w:bottom w:val="none" w:sz="0" w:space="0" w:color="auto"/>
                    <w:right w:val="none" w:sz="0" w:space="0" w:color="auto"/>
                  </w:divBdr>
                  <w:divsChild>
                    <w:div w:id="17472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8860">
          <w:marLeft w:val="0"/>
          <w:marRight w:val="0"/>
          <w:marTop w:val="0"/>
          <w:marBottom w:val="0"/>
          <w:divBdr>
            <w:top w:val="none" w:sz="0" w:space="0" w:color="auto"/>
            <w:left w:val="none" w:sz="0" w:space="0" w:color="auto"/>
            <w:bottom w:val="none" w:sz="0" w:space="0" w:color="auto"/>
            <w:right w:val="none" w:sz="0" w:space="0" w:color="auto"/>
          </w:divBdr>
          <w:divsChild>
            <w:div w:id="1079713284">
              <w:marLeft w:val="0"/>
              <w:marRight w:val="0"/>
              <w:marTop w:val="0"/>
              <w:marBottom w:val="0"/>
              <w:divBdr>
                <w:top w:val="none" w:sz="0" w:space="0" w:color="auto"/>
                <w:left w:val="none" w:sz="0" w:space="0" w:color="auto"/>
                <w:bottom w:val="none" w:sz="0" w:space="0" w:color="auto"/>
                <w:right w:val="none" w:sz="0" w:space="0" w:color="auto"/>
              </w:divBdr>
              <w:divsChild>
                <w:div w:id="952980724">
                  <w:marLeft w:val="0"/>
                  <w:marRight w:val="0"/>
                  <w:marTop w:val="0"/>
                  <w:marBottom w:val="0"/>
                  <w:divBdr>
                    <w:top w:val="none" w:sz="0" w:space="0" w:color="auto"/>
                    <w:left w:val="none" w:sz="0" w:space="0" w:color="auto"/>
                    <w:bottom w:val="none" w:sz="0" w:space="0" w:color="auto"/>
                    <w:right w:val="none" w:sz="0" w:space="0" w:color="auto"/>
                  </w:divBdr>
                  <w:divsChild>
                    <w:div w:id="401294205">
                      <w:marLeft w:val="0"/>
                      <w:marRight w:val="0"/>
                      <w:marTop w:val="0"/>
                      <w:marBottom w:val="0"/>
                      <w:divBdr>
                        <w:top w:val="none" w:sz="0" w:space="0" w:color="auto"/>
                        <w:left w:val="none" w:sz="0" w:space="0" w:color="auto"/>
                        <w:bottom w:val="none" w:sz="0" w:space="0" w:color="auto"/>
                        <w:right w:val="none" w:sz="0" w:space="0" w:color="auto"/>
                      </w:divBdr>
                      <w:divsChild>
                        <w:div w:id="559755815">
                          <w:marLeft w:val="0"/>
                          <w:marRight w:val="0"/>
                          <w:marTop w:val="0"/>
                          <w:marBottom w:val="0"/>
                          <w:divBdr>
                            <w:top w:val="none" w:sz="0" w:space="0" w:color="auto"/>
                            <w:left w:val="none" w:sz="0" w:space="0" w:color="auto"/>
                            <w:bottom w:val="none" w:sz="0" w:space="0" w:color="auto"/>
                            <w:right w:val="none" w:sz="0" w:space="0" w:color="auto"/>
                          </w:divBdr>
                          <w:divsChild>
                            <w:div w:id="203292716">
                              <w:marLeft w:val="0"/>
                              <w:marRight w:val="0"/>
                              <w:marTop w:val="0"/>
                              <w:marBottom w:val="0"/>
                              <w:divBdr>
                                <w:top w:val="none" w:sz="0" w:space="0" w:color="auto"/>
                                <w:left w:val="none" w:sz="0" w:space="0" w:color="auto"/>
                                <w:bottom w:val="none" w:sz="0" w:space="0" w:color="auto"/>
                                <w:right w:val="none" w:sz="0" w:space="0" w:color="auto"/>
                              </w:divBdr>
                              <w:divsChild>
                                <w:div w:id="23943932">
                                  <w:marLeft w:val="0"/>
                                  <w:marRight w:val="0"/>
                                  <w:marTop w:val="0"/>
                                  <w:marBottom w:val="0"/>
                                  <w:divBdr>
                                    <w:top w:val="none" w:sz="0" w:space="0" w:color="auto"/>
                                    <w:left w:val="none" w:sz="0" w:space="0" w:color="auto"/>
                                    <w:bottom w:val="none" w:sz="0" w:space="0" w:color="auto"/>
                                    <w:right w:val="none" w:sz="0" w:space="0" w:color="auto"/>
                                  </w:divBdr>
                                  <w:divsChild>
                                    <w:div w:id="1219897153">
                                      <w:marLeft w:val="0"/>
                                      <w:marRight w:val="0"/>
                                      <w:marTop w:val="0"/>
                                      <w:marBottom w:val="0"/>
                                      <w:divBdr>
                                        <w:top w:val="none" w:sz="0" w:space="0" w:color="auto"/>
                                        <w:left w:val="none" w:sz="0" w:space="0" w:color="auto"/>
                                        <w:bottom w:val="none" w:sz="0" w:space="0" w:color="auto"/>
                                        <w:right w:val="none" w:sz="0" w:space="0" w:color="auto"/>
                                      </w:divBdr>
                                      <w:divsChild>
                                        <w:div w:id="1200120659">
                                          <w:marLeft w:val="0"/>
                                          <w:marRight w:val="0"/>
                                          <w:marTop w:val="0"/>
                                          <w:marBottom w:val="0"/>
                                          <w:divBdr>
                                            <w:top w:val="none" w:sz="0" w:space="0" w:color="auto"/>
                                            <w:left w:val="none" w:sz="0" w:space="0" w:color="auto"/>
                                            <w:bottom w:val="none" w:sz="0" w:space="0" w:color="auto"/>
                                            <w:right w:val="none" w:sz="0" w:space="0" w:color="auto"/>
                                          </w:divBdr>
                                        </w:div>
                                        <w:div w:id="1013413618">
                                          <w:marLeft w:val="0"/>
                                          <w:marRight w:val="0"/>
                                          <w:marTop w:val="0"/>
                                          <w:marBottom w:val="0"/>
                                          <w:divBdr>
                                            <w:top w:val="none" w:sz="0" w:space="0" w:color="auto"/>
                                            <w:left w:val="none" w:sz="0" w:space="0" w:color="auto"/>
                                            <w:bottom w:val="none" w:sz="0" w:space="0" w:color="auto"/>
                                            <w:right w:val="none" w:sz="0" w:space="0" w:color="auto"/>
                                          </w:divBdr>
                                          <w:divsChild>
                                            <w:div w:id="1867135462">
                                              <w:marLeft w:val="0"/>
                                              <w:marRight w:val="0"/>
                                              <w:marTop w:val="0"/>
                                              <w:marBottom w:val="0"/>
                                              <w:divBdr>
                                                <w:top w:val="none" w:sz="0" w:space="0" w:color="auto"/>
                                                <w:left w:val="none" w:sz="0" w:space="0" w:color="auto"/>
                                                <w:bottom w:val="none" w:sz="0" w:space="0" w:color="auto"/>
                                                <w:right w:val="none" w:sz="0" w:space="0" w:color="auto"/>
                                              </w:divBdr>
                                              <w:divsChild>
                                                <w:div w:id="6156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043852">
      <w:bodyDiv w:val="1"/>
      <w:marLeft w:val="0"/>
      <w:marRight w:val="0"/>
      <w:marTop w:val="0"/>
      <w:marBottom w:val="0"/>
      <w:divBdr>
        <w:top w:val="none" w:sz="0" w:space="0" w:color="auto"/>
        <w:left w:val="none" w:sz="0" w:space="0" w:color="auto"/>
        <w:bottom w:val="none" w:sz="0" w:space="0" w:color="auto"/>
        <w:right w:val="none" w:sz="0" w:space="0" w:color="auto"/>
      </w:divBdr>
      <w:divsChild>
        <w:div w:id="1051002452">
          <w:marLeft w:val="547"/>
          <w:marRight w:val="0"/>
          <w:marTop w:val="134"/>
          <w:marBottom w:val="0"/>
          <w:divBdr>
            <w:top w:val="none" w:sz="0" w:space="0" w:color="auto"/>
            <w:left w:val="none" w:sz="0" w:space="0" w:color="auto"/>
            <w:bottom w:val="none" w:sz="0" w:space="0" w:color="auto"/>
            <w:right w:val="none" w:sz="0" w:space="0" w:color="auto"/>
          </w:divBdr>
        </w:div>
        <w:div w:id="2097049271">
          <w:marLeft w:val="547"/>
          <w:marRight w:val="0"/>
          <w:marTop w:val="134"/>
          <w:marBottom w:val="0"/>
          <w:divBdr>
            <w:top w:val="none" w:sz="0" w:space="0" w:color="auto"/>
            <w:left w:val="none" w:sz="0" w:space="0" w:color="auto"/>
            <w:bottom w:val="none" w:sz="0" w:space="0" w:color="auto"/>
            <w:right w:val="none" w:sz="0" w:space="0" w:color="auto"/>
          </w:divBdr>
        </w:div>
        <w:div w:id="76942820">
          <w:marLeft w:val="547"/>
          <w:marRight w:val="0"/>
          <w:marTop w:val="134"/>
          <w:marBottom w:val="0"/>
          <w:divBdr>
            <w:top w:val="none" w:sz="0" w:space="0" w:color="auto"/>
            <w:left w:val="none" w:sz="0" w:space="0" w:color="auto"/>
            <w:bottom w:val="none" w:sz="0" w:space="0" w:color="auto"/>
            <w:right w:val="none" w:sz="0" w:space="0" w:color="auto"/>
          </w:divBdr>
        </w:div>
        <w:div w:id="1252815322">
          <w:marLeft w:val="547"/>
          <w:marRight w:val="0"/>
          <w:marTop w:val="134"/>
          <w:marBottom w:val="0"/>
          <w:divBdr>
            <w:top w:val="none" w:sz="0" w:space="0" w:color="auto"/>
            <w:left w:val="none" w:sz="0" w:space="0" w:color="auto"/>
            <w:bottom w:val="none" w:sz="0" w:space="0" w:color="auto"/>
            <w:right w:val="none" w:sz="0" w:space="0" w:color="auto"/>
          </w:divBdr>
        </w:div>
      </w:divsChild>
    </w:div>
    <w:div w:id="1538079791">
      <w:bodyDiv w:val="1"/>
      <w:marLeft w:val="0"/>
      <w:marRight w:val="0"/>
      <w:marTop w:val="0"/>
      <w:marBottom w:val="0"/>
      <w:divBdr>
        <w:top w:val="none" w:sz="0" w:space="0" w:color="auto"/>
        <w:left w:val="none" w:sz="0" w:space="0" w:color="auto"/>
        <w:bottom w:val="none" w:sz="0" w:space="0" w:color="auto"/>
        <w:right w:val="none" w:sz="0" w:space="0" w:color="auto"/>
      </w:divBdr>
      <w:divsChild>
        <w:div w:id="1429736528">
          <w:marLeft w:val="0"/>
          <w:marRight w:val="0"/>
          <w:marTop w:val="360"/>
          <w:marBottom w:val="105"/>
          <w:divBdr>
            <w:top w:val="none" w:sz="0" w:space="0" w:color="auto"/>
            <w:left w:val="none" w:sz="0" w:space="0" w:color="auto"/>
            <w:bottom w:val="none" w:sz="0" w:space="0" w:color="auto"/>
            <w:right w:val="none" w:sz="0" w:space="0" w:color="auto"/>
          </w:divBdr>
          <w:divsChild>
            <w:div w:id="1853033545">
              <w:marLeft w:val="0"/>
              <w:marRight w:val="0"/>
              <w:marTop w:val="0"/>
              <w:marBottom w:val="0"/>
              <w:divBdr>
                <w:top w:val="none" w:sz="0" w:space="0" w:color="auto"/>
                <w:left w:val="none" w:sz="0" w:space="0" w:color="auto"/>
                <w:bottom w:val="none" w:sz="0" w:space="0" w:color="auto"/>
                <w:right w:val="none" w:sz="0" w:space="0" w:color="auto"/>
              </w:divBdr>
              <w:divsChild>
                <w:div w:id="17102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8839</Characters>
  <Application>Microsoft Macintosh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FYSSA ARISTEA</cp:lastModifiedBy>
  <cp:revision>2</cp:revision>
  <dcterms:created xsi:type="dcterms:W3CDTF">2018-12-12T17:24:00Z</dcterms:created>
  <dcterms:modified xsi:type="dcterms:W3CDTF">2018-12-12T17:24:00Z</dcterms:modified>
</cp:coreProperties>
</file>