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58" w:rsidRPr="001B1423" w:rsidRDefault="00EF4D58" w:rsidP="00EF4D58">
      <w:pPr>
        <w:spacing w:line="276" w:lineRule="auto"/>
        <w:jc w:val="both"/>
        <w:rPr>
          <w:rFonts w:asciiTheme="majorHAnsi" w:hAnsiTheme="majorHAnsi"/>
        </w:rPr>
      </w:pPr>
    </w:p>
    <w:p w:rsidR="00EF4D58" w:rsidRPr="001B1423" w:rsidRDefault="00EF4D58" w:rsidP="00EF4D58">
      <w:pPr>
        <w:spacing w:line="276" w:lineRule="auto"/>
        <w:jc w:val="both"/>
        <w:rPr>
          <w:rFonts w:asciiTheme="majorHAnsi" w:hAnsiTheme="majorHAnsi"/>
        </w:rPr>
      </w:pPr>
    </w:p>
    <w:p w:rsidR="00EF4D58" w:rsidRPr="00A8210D" w:rsidRDefault="00EF4D58" w:rsidP="00EF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381"/>
        <w:jc w:val="center"/>
        <w:rPr>
          <w:rFonts w:asciiTheme="majorHAnsi" w:hAnsiTheme="majorHAnsi"/>
          <w:b/>
        </w:rPr>
      </w:pPr>
      <w:bookmarkStart w:id="0" w:name="_GoBack"/>
      <w:r w:rsidRPr="00A8210D">
        <w:rPr>
          <w:rFonts w:asciiTheme="majorHAnsi" w:hAnsiTheme="majorHAnsi"/>
          <w:b/>
        </w:rPr>
        <w:t>Εκτίμηση της χωρητικότητας</w:t>
      </w:r>
    </w:p>
    <w:bookmarkEnd w:id="0"/>
    <w:p w:rsidR="00EF4D58" w:rsidRPr="00A8210D" w:rsidRDefault="00EF4D58" w:rsidP="00EF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381"/>
        <w:rPr>
          <w:rFonts w:asciiTheme="majorHAnsi" w:hAnsiTheme="majorHAnsi"/>
          <w:b/>
        </w:rPr>
      </w:pPr>
      <w:r w:rsidRPr="00A8210D">
        <w:rPr>
          <w:rFonts w:asciiTheme="majorHAnsi" w:hAnsiTheme="majorHAnsi"/>
          <w:b/>
        </w:rPr>
        <w:t xml:space="preserve">(μικρός οικισμός </w:t>
      </w:r>
      <w:r w:rsidRPr="00A8210D">
        <w:rPr>
          <w:rFonts w:asciiTheme="majorHAnsi" w:hAnsiTheme="majorHAnsi"/>
        </w:rPr>
        <w:t>που αντιμετωπίζεται σαν μία πολεοδομική ενότητα</w:t>
      </w:r>
      <w:r w:rsidRPr="00A8210D">
        <w:rPr>
          <w:rFonts w:asciiTheme="majorHAnsi" w:hAnsiTheme="majorHAnsi"/>
          <w:b/>
        </w:rPr>
        <w:t xml:space="preserve"> </w:t>
      </w:r>
      <w:r w:rsidRPr="00A8210D">
        <w:rPr>
          <w:rFonts w:asciiTheme="majorHAnsi" w:hAnsiTheme="majorHAnsi"/>
        </w:rPr>
        <w:t>και έχει</w:t>
      </w:r>
      <w:r w:rsidRPr="00A8210D">
        <w:rPr>
          <w:rFonts w:asciiTheme="majorHAnsi" w:hAnsiTheme="majorHAnsi"/>
          <w:b/>
        </w:rPr>
        <w:t xml:space="preserve"> σημαντικό ποσοστό εποχιακού πληθυσμού)</w:t>
      </w:r>
    </w:p>
    <w:p w:rsidR="00EF4D58" w:rsidRPr="00A8210D" w:rsidRDefault="00EF4D58" w:rsidP="00EF4D58">
      <w:pPr>
        <w:spacing w:before="240"/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>1. Εκτίμηση του μόνιμου πληθυσμού στο χρόνο-στόχο (το 2030)</w:t>
      </w:r>
    </w:p>
    <w:p w:rsidR="00EF4D58" w:rsidRPr="00A8210D" w:rsidRDefault="00EF4D58" w:rsidP="00EF4D58">
      <w:pPr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>2. Εκτίμηση της επιφάνειας που θα διατεθεί για την κυκλοφορία ως ποσοστό της συνολικής επιφάνειας του σχεδίου (μαζί με τις ενδεχόμενες επεκτάσεις).</w:t>
      </w:r>
    </w:p>
    <w:p w:rsidR="00EF4D58" w:rsidRPr="00A8210D" w:rsidRDefault="00EF4D58" w:rsidP="00EF4D58">
      <w:pPr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>3. Εκτίμηση της επιφάνειας γηπέδου ΟΤ που θα διατεθεί αποκλειστικά για χρήσεις άλλες από την μόνιμη κατοικία και την κοινωνική υποδομή που την εξυπηρετεί.</w:t>
      </w:r>
    </w:p>
    <w:p w:rsidR="00EF4D58" w:rsidRPr="00A8210D" w:rsidRDefault="00EF4D58" w:rsidP="00EF4D58">
      <w:pPr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4. Εκτίμηση του ποσοστού </w:t>
      </w:r>
      <w:r w:rsidRPr="00A8210D">
        <w:rPr>
          <w:rFonts w:asciiTheme="majorHAnsi" w:hAnsiTheme="majorHAnsi"/>
          <w:b/>
        </w:rPr>
        <w:t>ρ</w:t>
      </w:r>
      <w:r w:rsidRPr="00A8210D">
        <w:rPr>
          <w:rFonts w:asciiTheme="majorHAnsi" w:hAnsiTheme="majorHAnsi"/>
        </w:rPr>
        <w:t xml:space="preserve"> της δόμησης (του ΣΔ) των ΟΤ των περιοχών κατοικίας που θα διατεθεί σε κατοικία (</w:t>
      </w:r>
      <w:r w:rsidRPr="00A8210D">
        <w:rPr>
          <w:rFonts w:asciiTheme="majorHAnsi" w:hAnsiTheme="majorHAnsi"/>
          <w:i/>
        </w:rPr>
        <w:t>μόνο εάν το ποσοστό που καταλαμβάνεται από άλλες χρήσεις θεωρείται σημαντικό</w:t>
      </w:r>
      <w:r w:rsidRPr="00A8210D">
        <w:rPr>
          <w:rFonts w:asciiTheme="majorHAnsi" w:hAnsiTheme="majorHAnsi"/>
        </w:rPr>
        <w:t>).</w:t>
      </w:r>
    </w:p>
    <w:p w:rsidR="00EF4D58" w:rsidRPr="00A8210D" w:rsidRDefault="00EF4D58" w:rsidP="00EF4D58">
      <w:pPr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5. Υιοθέτηση ενός </w:t>
      </w:r>
      <w:proofErr w:type="spellStart"/>
      <w:r w:rsidRPr="00A8210D">
        <w:rPr>
          <w:rFonts w:asciiTheme="majorHAnsi" w:hAnsiTheme="majorHAnsi"/>
        </w:rPr>
        <w:t>σταθεροτύπου</w:t>
      </w:r>
      <w:proofErr w:type="spellEnd"/>
      <w:r w:rsidRPr="00A8210D">
        <w:rPr>
          <w:rFonts w:asciiTheme="majorHAnsi" w:hAnsiTheme="majorHAnsi"/>
        </w:rPr>
        <w:t xml:space="preserve"> </w:t>
      </w:r>
      <w:r w:rsidRPr="00A8210D">
        <w:rPr>
          <w:rFonts w:asciiTheme="majorHAnsi" w:hAnsiTheme="majorHAnsi"/>
          <w:b/>
          <w:lang w:val="en-US"/>
        </w:rPr>
        <w:t>k</w:t>
      </w:r>
      <w:r w:rsidRPr="00A8210D">
        <w:rPr>
          <w:rFonts w:asciiTheme="majorHAnsi" w:hAnsiTheme="majorHAnsi"/>
        </w:rPr>
        <w:t xml:space="preserve"> (τμ κτιρίου μόνιμης κατοικίας)/ κάτοικο.</w:t>
      </w:r>
    </w:p>
    <w:p w:rsidR="00EF4D58" w:rsidRPr="00A8210D" w:rsidRDefault="00EF4D58" w:rsidP="00EF4D58">
      <w:pPr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6. Υιοθέτηση ενός </w:t>
      </w:r>
      <w:proofErr w:type="spellStart"/>
      <w:r w:rsidRPr="00A8210D">
        <w:rPr>
          <w:rFonts w:asciiTheme="majorHAnsi" w:hAnsiTheme="majorHAnsi"/>
        </w:rPr>
        <w:t>σταθεροτύπου</w:t>
      </w:r>
      <w:proofErr w:type="spellEnd"/>
      <w:r w:rsidRPr="00A8210D">
        <w:rPr>
          <w:rFonts w:asciiTheme="majorHAnsi" w:hAnsiTheme="majorHAnsi"/>
        </w:rPr>
        <w:t xml:space="preserve"> </w:t>
      </w:r>
      <w:r w:rsidRPr="00A8210D">
        <w:rPr>
          <w:rFonts w:asciiTheme="majorHAnsi" w:hAnsiTheme="majorHAnsi"/>
          <w:b/>
        </w:rPr>
        <w:t>υ</w:t>
      </w:r>
      <w:r w:rsidRPr="00A8210D">
        <w:rPr>
          <w:rFonts w:asciiTheme="majorHAnsi" w:hAnsiTheme="majorHAnsi"/>
        </w:rPr>
        <w:t xml:space="preserve"> (τμ </w:t>
      </w:r>
      <w:r w:rsidRPr="00A8210D">
        <w:rPr>
          <w:rFonts w:asciiTheme="majorHAnsi" w:hAnsiTheme="majorHAnsi"/>
          <w:i/>
        </w:rPr>
        <w:t>γηπέδου</w:t>
      </w:r>
      <w:r w:rsidRPr="00A8210D">
        <w:rPr>
          <w:rFonts w:asciiTheme="majorHAnsi" w:hAnsiTheme="majorHAnsi"/>
        </w:rPr>
        <w:t xml:space="preserve"> κοινωνικής υποδομής)/ κάτοικο.</w:t>
      </w:r>
    </w:p>
    <w:p w:rsidR="00EF4D58" w:rsidRPr="00A8210D" w:rsidRDefault="00EF4D58" w:rsidP="00EF4D58">
      <w:pPr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7. Υπολογισμός της επιφάνειας </w:t>
      </w:r>
      <w:r w:rsidRPr="00A8210D">
        <w:rPr>
          <w:rFonts w:asciiTheme="majorHAnsi" w:hAnsiTheme="majorHAnsi"/>
          <w:b/>
        </w:rPr>
        <w:t>ε</w:t>
      </w:r>
      <w:r w:rsidRPr="00A8210D">
        <w:rPr>
          <w:rFonts w:asciiTheme="majorHAnsi" w:hAnsiTheme="majorHAnsi"/>
        </w:rPr>
        <w:t xml:space="preserve"> του σχεδίου (μαζί με τις τυχόν επεκτάσεις και μετά την αφαίρεση των επιφανειών που αναφέρονται στα 2 και 3) </w:t>
      </w:r>
      <w:r w:rsidRPr="00A8210D">
        <w:rPr>
          <w:rFonts w:asciiTheme="majorHAnsi" w:hAnsiTheme="majorHAnsi"/>
          <w:i/>
        </w:rPr>
        <w:t>σε εκτάρια</w:t>
      </w:r>
      <w:r w:rsidRPr="00A8210D">
        <w:rPr>
          <w:rFonts w:asciiTheme="majorHAnsi" w:hAnsiTheme="majorHAnsi"/>
        </w:rPr>
        <w:t>.</w:t>
      </w:r>
    </w:p>
    <w:p w:rsidR="00EF4D58" w:rsidRPr="00A8210D" w:rsidRDefault="00EF4D58" w:rsidP="00EF4D58">
      <w:pPr>
        <w:spacing w:before="120"/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>8. Έλεγχος της χωρητικότητας του σχεδίου (μαζί με τις τυχόν προτεινόμενες επεκτάσεις):</w:t>
      </w:r>
    </w:p>
    <w:p w:rsidR="00EF4D58" w:rsidRPr="00A8210D" w:rsidRDefault="00EF4D58" w:rsidP="00EF4D58">
      <w:pPr>
        <w:ind w:left="17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ab/>
        <w:t xml:space="preserve">Η χωρητικότητα, </w:t>
      </w:r>
      <w:r w:rsidRPr="00A8210D">
        <w:rPr>
          <w:rFonts w:asciiTheme="majorHAnsi" w:hAnsiTheme="majorHAnsi"/>
          <w:b/>
          <w:lang w:val="en-US"/>
        </w:rPr>
        <w:t>C</w:t>
      </w:r>
      <w:r w:rsidRPr="00A8210D">
        <w:rPr>
          <w:rFonts w:asciiTheme="majorHAnsi" w:hAnsiTheme="majorHAnsi"/>
        </w:rPr>
        <w:t>,  δίνεται από τη σχέση</w:t>
      </w:r>
      <w:r w:rsidRPr="00A8210D">
        <w:rPr>
          <w:rFonts w:asciiTheme="majorHAnsi" w:hAnsiTheme="majorHAnsi"/>
          <w:b/>
        </w:rPr>
        <w:t xml:space="preserve"> </w:t>
      </w:r>
      <w:r w:rsidRPr="00A8210D">
        <w:rPr>
          <w:rFonts w:asciiTheme="majorHAnsi" w:hAnsiTheme="majorHAnsi"/>
          <w:b/>
          <w:bdr w:val="single" w:sz="4" w:space="0" w:color="auto"/>
        </w:rPr>
        <w:t xml:space="preserve">  </w:t>
      </w:r>
      <w:r w:rsidRPr="00A8210D">
        <w:rPr>
          <w:rFonts w:asciiTheme="majorHAnsi" w:hAnsiTheme="majorHAnsi"/>
          <w:b/>
          <w:bdr w:val="single" w:sz="4" w:space="0" w:color="auto"/>
          <w:lang w:val="en-US"/>
        </w:rPr>
        <w:t>C</w:t>
      </w:r>
      <w:r w:rsidRPr="00A8210D">
        <w:rPr>
          <w:rFonts w:asciiTheme="majorHAnsi" w:hAnsiTheme="majorHAnsi"/>
          <w:b/>
          <w:bdr w:val="single" w:sz="4" w:space="0" w:color="auto"/>
          <w:vertAlign w:val="subscript"/>
        </w:rPr>
        <w:t xml:space="preserve"> </w:t>
      </w:r>
      <w:r w:rsidRPr="00A8210D">
        <w:rPr>
          <w:rFonts w:asciiTheme="majorHAnsi" w:hAnsiTheme="majorHAnsi"/>
          <w:bdr w:val="single" w:sz="4" w:space="0" w:color="auto"/>
        </w:rPr>
        <w:t xml:space="preserve"> = </w:t>
      </w:r>
      <w:r w:rsidRPr="00A8210D">
        <w:rPr>
          <w:rFonts w:asciiTheme="majorHAnsi" w:hAnsiTheme="majorHAnsi"/>
          <w:b/>
          <w:spacing w:val="20"/>
          <w:bdr w:val="single" w:sz="4" w:space="0" w:color="auto"/>
          <w:lang w:val="en-US"/>
        </w:rPr>
        <w:t>d</w:t>
      </w:r>
      <w:r w:rsidRPr="00A8210D">
        <w:rPr>
          <w:rFonts w:asciiTheme="majorHAnsi" w:hAnsiTheme="majorHAnsi"/>
          <w:spacing w:val="20"/>
          <w:bdr w:val="single" w:sz="4" w:space="0" w:color="auto"/>
          <w:lang w:val="en-US"/>
        </w:rPr>
        <w:t>x</w:t>
      </w:r>
      <w:r w:rsidRPr="00A8210D">
        <w:rPr>
          <w:rFonts w:asciiTheme="majorHAnsi" w:hAnsiTheme="majorHAnsi"/>
          <w:b/>
          <w:spacing w:val="20"/>
          <w:bdr w:val="single" w:sz="4" w:space="0" w:color="auto"/>
        </w:rPr>
        <w:t>ε</w:t>
      </w:r>
      <w:r w:rsidRPr="00A8210D">
        <w:rPr>
          <w:rFonts w:asciiTheme="majorHAnsi" w:hAnsiTheme="majorHAnsi"/>
          <w:spacing w:val="20"/>
          <w:bdr w:val="single" w:sz="4" w:space="0" w:color="auto"/>
          <w:lang w:val="en-US"/>
        </w:rPr>
        <w:t>x</w:t>
      </w:r>
      <w:r w:rsidRPr="00A8210D">
        <w:rPr>
          <w:rFonts w:asciiTheme="majorHAnsi" w:hAnsiTheme="majorHAnsi"/>
          <w:b/>
          <w:spacing w:val="20"/>
          <w:bdr w:val="single" w:sz="4" w:space="0" w:color="auto"/>
        </w:rPr>
        <w:t xml:space="preserve">λ </w:t>
      </w:r>
      <w:r w:rsidRPr="00A8210D">
        <w:rPr>
          <w:rFonts w:asciiTheme="majorHAnsi" w:hAnsiTheme="majorHAnsi"/>
          <w:b/>
          <w:spacing w:val="20"/>
        </w:rPr>
        <w:t xml:space="preserve">  </w:t>
      </w:r>
      <w:r w:rsidRPr="00A8210D">
        <w:rPr>
          <w:rFonts w:asciiTheme="majorHAnsi" w:hAnsiTheme="majorHAnsi"/>
        </w:rPr>
        <w:t>όπου</w:t>
      </w:r>
      <w:r w:rsidRPr="00A8210D">
        <w:rPr>
          <w:rFonts w:asciiTheme="majorHAnsi" w:hAnsiTheme="majorHAnsi"/>
          <w:b/>
          <w:spacing w:val="20"/>
        </w:rPr>
        <w:t xml:space="preserve">                </w:t>
      </w:r>
    </w:p>
    <w:p w:rsidR="00EF4D58" w:rsidRPr="00A8210D" w:rsidRDefault="00EF4D58" w:rsidP="00EF4D58">
      <w:pPr>
        <w:ind w:left="170"/>
        <w:rPr>
          <w:rFonts w:asciiTheme="majorHAnsi" w:hAnsiTheme="majorHAnsi"/>
        </w:rPr>
      </w:pPr>
      <w:proofErr w:type="gramStart"/>
      <w:r w:rsidRPr="00A8210D">
        <w:rPr>
          <w:rFonts w:asciiTheme="majorHAnsi" w:hAnsiTheme="majorHAnsi"/>
          <w:b/>
          <w:lang w:val="en-US"/>
        </w:rPr>
        <w:t>d</w:t>
      </w:r>
      <w:proofErr w:type="gramEnd"/>
      <w:r w:rsidRPr="00A8210D">
        <w:rPr>
          <w:rFonts w:asciiTheme="majorHAnsi" w:hAnsiTheme="majorHAnsi"/>
        </w:rPr>
        <w:t xml:space="preserve"> και </w:t>
      </w:r>
      <w:r w:rsidRPr="00A8210D">
        <w:rPr>
          <w:rFonts w:asciiTheme="majorHAnsi" w:hAnsiTheme="majorHAnsi"/>
          <w:b/>
        </w:rPr>
        <w:t>λ</w:t>
      </w:r>
      <w:r w:rsidRPr="00A8210D">
        <w:rPr>
          <w:rFonts w:asciiTheme="majorHAnsi" w:hAnsiTheme="majorHAnsi"/>
        </w:rPr>
        <w:t xml:space="preserve">: η </w:t>
      </w:r>
      <w:r w:rsidRPr="00A8210D">
        <w:rPr>
          <w:rFonts w:asciiTheme="majorHAnsi" w:hAnsiTheme="majorHAnsi"/>
          <w:i/>
        </w:rPr>
        <w:t>θεωρητική πυκνότητα</w:t>
      </w:r>
      <w:r w:rsidRPr="00A8210D">
        <w:rPr>
          <w:rFonts w:asciiTheme="majorHAnsi" w:hAnsiTheme="majorHAnsi"/>
        </w:rPr>
        <w:t xml:space="preserve"> και ο </w:t>
      </w:r>
      <w:r w:rsidRPr="00A8210D">
        <w:rPr>
          <w:rFonts w:asciiTheme="majorHAnsi" w:hAnsiTheme="majorHAnsi"/>
          <w:i/>
        </w:rPr>
        <w:t>συντελεστής κορεσμού</w:t>
      </w:r>
      <w:r w:rsidRPr="00A8210D">
        <w:rPr>
          <w:rFonts w:asciiTheme="majorHAnsi" w:hAnsiTheme="majorHAnsi"/>
        </w:rPr>
        <w:t xml:space="preserve"> και </w:t>
      </w:r>
    </w:p>
    <w:p w:rsidR="00EF4D58" w:rsidRPr="00A8210D" w:rsidRDefault="00EF4D58" w:rsidP="00EF4D58">
      <w:pPr>
        <w:ind w:left="170"/>
        <w:rPr>
          <w:rFonts w:asciiTheme="majorHAnsi" w:hAnsiTheme="majorHAnsi"/>
        </w:rPr>
      </w:pPr>
      <w:r w:rsidRPr="00A8210D">
        <w:rPr>
          <w:rFonts w:asciiTheme="majorHAnsi" w:hAnsiTheme="majorHAnsi"/>
          <w:b/>
        </w:rPr>
        <w:t xml:space="preserve">ε </w:t>
      </w:r>
      <w:r w:rsidRPr="00A8210D">
        <w:rPr>
          <w:rFonts w:asciiTheme="majorHAnsi" w:hAnsiTheme="majorHAnsi"/>
        </w:rPr>
        <w:t>: η συνολική επιφάνεια του οικισμού κατά το 7 παραπάνω</w:t>
      </w:r>
    </w:p>
    <w:tbl>
      <w:tblPr>
        <w:tblW w:w="0" w:type="auto"/>
        <w:tblInd w:w="34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2700"/>
        <w:gridCol w:w="810"/>
      </w:tblGrid>
      <w:tr w:rsidR="00EF4D58" w:rsidRPr="00A8210D" w:rsidTr="000A1BD2">
        <w:trPr>
          <w:cantSplit/>
          <w:trHeight w:val="161"/>
        </w:trPr>
        <w:tc>
          <w:tcPr>
            <w:tcW w:w="1928" w:type="dxa"/>
            <w:vMerge w:val="restart"/>
            <w:vAlign w:val="center"/>
          </w:tcPr>
          <w:p w:rsidR="00EF4D58" w:rsidRPr="00A8210D" w:rsidRDefault="00EF4D58" w:rsidP="000A1BD2">
            <w:pPr>
              <w:spacing w:before="120"/>
              <w:jc w:val="right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 xml:space="preserve">  και                 d =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EF4D58" w:rsidRPr="00A8210D" w:rsidRDefault="00EF4D58" w:rsidP="000A1BD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8210D">
              <w:rPr>
                <w:rFonts w:asciiTheme="majorHAnsi" w:hAnsiTheme="majorHAnsi"/>
              </w:rPr>
              <w:t>σ</w:t>
            </w:r>
            <w:r w:rsidRPr="00A8210D">
              <w:rPr>
                <w:rFonts w:asciiTheme="majorHAnsi" w:hAnsiTheme="majorHAnsi"/>
                <w:vertAlign w:val="subscript"/>
              </w:rPr>
              <w:t>τελ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:rsidR="00EF4D58" w:rsidRPr="00A8210D" w:rsidRDefault="00EF4D58" w:rsidP="000A1BD2">
            <w:pPr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10</w:t>
            </w:r>
            <w:r w:rsidRPr="00A8210D">
              <w:rPr>
                <w:rFonts w:asciiTheme="majorHAnsi" w:hAnsiTheme="majorHAnsi"/>
                <w:vertAlign w:val="superscript"/>
              </w:rPr>
              <w:t>4</w:t>
            </w:r>
          </w:p>
        </w:tc>
      </w:tr>
      <w:tr w:rsidR="00EF4D58" w:rsidRPr="00A8210D" w:rsidTr="000A1BD2">
        <w:trPr>
          <w:cantSplit/>
          <w:trHeight w:val="160"/>
        </w:trPr>
        <w:tc>
          <w:tcPr>
            <w:tcW w:w="1928" w:type="dxa"/>
            <w:vMerge/>
          </w:tcPr>
          <w:p w:rsidR="00EF4D58" w:rsidRPr="00A8210D" w:rsidRDefault="00EF4D58" w:rsidP="000A1BD2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EF4D58" w:rsidRPr="00A8210D" w:rsidRDefault="00EF4D58" w:rsidP="000A1BD2">
            <w:pPr>
              <w:jc w:val="center"/>
              <w:rPr>
                <w:rFonts w:asciiTheme="majorHAnsi" w:hAnsiTheme="majorHAnsi"/>
              </w:rPr>
            </w:pPr>
            <w:r w:rsidRPr="00A8210D">
              <w:rPr>
                <w:rFonts w:asciiTheme="majorHAnsi" w:hAnsiTheme="majorHAnsi"/>
              </w:rPr>
              <w:t>(</w:t>
            </w:r>
            <w:r w:rsidRPr="00A8210D">
              <w:rPr>
                <w:rFonts w:asciiTheme="majorHAnsi" w:hAnsiTheme="majorHAnsi"/>
                <w:lang w:val="en-US"/>
              </w:rPr>
              <w:t>k</w:t>
            </w:r>
            <w:r w:rsidRPr="00A8210D">
              <w:rPr>
                <w:rFonts w:asciiTheme="majorHAnsi" w:hAnsiTheme="majorHAnsi"/>
              </w:rPr>
              <w:t>+8β) + (</w:t>
            </w:r>
            <w:r w:rsidRPr="00A8210D">
              <w:rPr>
                <w:rFonts w:asciiTheme="majorHAnsi" w:hAnsiTheme="majorHAnsi"/>
                <w:lang w:val="en-US"/>
              </w:rPr>
              <w:t>u</w:t>
            </w:r>
            <w:r w:rsidRPr="00A8210D">
              <w:rPr>
                <w:rFonts w:asciiTheme="majorHAnsi" w:hAnsiTheme="majorHAnsi"/>
              </w:rPr>
              <w:t xml:space="preserve">+4β) </w:t>
            </w:r>
            <w:r w:rsidRPr="00A8210D">
              <w:rPr>
                <w:rFonts w:asciiTheme="majorHAnsi" w:hAnsiTheme="majorHAnsi"/>
                <w:lang w:val="en-US"/>
              </w:rPr>
              <w:t>x</w:t>
            </w:r>
            <w:r w:rsidRPr="00A8210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0" w:type="dxa"/>
            <w:vMerge/>
          </w:tcPr>
          <w:p w:rsidR="00EF4D58" w:rsidRPr="00A8210D" w:rsidRDefault="00EF4D58" w:rsidP="000A1BD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EF4D58" w:rsidRPr="00A8210D" w:rsidRDefault="00EF4D58" w:rsidP="00EF4D58">
      <w:pPr>
        <w:spacing w:before="120"/>
        <w:ind w:left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>όπου β = (εποχιακός πληθ.) / (μόνιμος πληθ.)</w:t>
      </w:r>
    </w:p>
    <w:p w:rsidR="00EF4D58" w:rsidRPr="00A8210D" w:rsidRDefault="00EF4D58" w:rsidP="00EF4D58">
      <w:pPr>
        <w:ind w:left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και    </w:t>
      </w:r>
      <w:proofErr w:type="spellStart"/>
      <w:r w:rsidRPr="00A8210D">
        <w:rPr>
          <w:rFonts w:asciiTheme="majorHAnsi" w:hAnsiTheme="majorHAnsi"/>
        </w:rPr>
        <w:t>σ</w:t>
      </w:r>
      <w:r w:rsidRPr="00A8210D">
        <w:rPr>
          <w:rFonts w:asciiTheme="majorHAnsi" w:hAnsiTheme="majorHAnsi"/>
          <w:vertAlign w:val="subscript"/>
        </w:rPr>
        <w:t>τελ</w:t>
      </w:r>
      <w:proofErr w:type="spellEnd"/>
      <w:r w:rsidRPr="00A8210D">
        <w:rPr>
          <w:rFonts w:asciiTheme="majorHAnsi" w:hAnsiTheme="majorHAnsi"/>
        </w:rPr>
        <w:t xml:space="preserve"> = (σ’ + σ),   όπου σ’= [σ </w:t>
      </w:r>
      <w:r w:rsidRPr="00A8210D">
        <w:rPr>
          <w:rFonts w:asciiTheme="majorHAnsi" w:hAnsiTheme="majorHAnsi"/>
          <w:lang w:val="en-US"/>
        </w:rPr>
        <w:t>x</w:t>
      </w:r>
      <w:r w:rsidRPr="00A8210D">
        <w:rPr>
          <w:rFonts w:asciiTheme="majorHAnsi" w:hAnsiTheme="majorHAnsi"/>
        </w:rPr>
        <w:t xml:space="preserve"> (1-ρ)] /ρ</w:t>
      </w:r>
    </w:p>
    <w:p w:rsidR="00EF4D58" w:rsidRPr="00A8210D" w:rsidRDefault="00EF4D58" w:rsidP="00EF4D58">
      <w:pPr>
        <w:ind w:left="170"/>
        <w:rPr>
          <w:rFonts w:asciiTheme="majorHAnsi" w:hAnsiTheme="majorHAnsi"/>
        </w:rPr>
      </w:pPr>
      <w:r w:rsidRPr="00A8210D">
        <w:rPr>
          <w:rFonts w:asciiTheme="majorHAnsi" w:hAnsiTheme="majorHAnsi"/>
          <w:b/>
        </w:rPr>
        <w:t>σ</w:t>
      </w:r>
      <w:r w:rsidRPr="00A8210D">
        <w:rPr>
          <w:rFonts w:asciiTheme="majorHAnsi" w:hAnsiTheme="majorHAnsi"/>
        </w:rPr>
        <w:t xml:space="preserve"> : ο μέσος ΣΔ των οικοπέδων (όπως θα ισχύει στο σχέδιο).</w:t>
      </w:r>
    </w:p>
    <w:p w:rsidR="00EF4D58" w:rsidRPr="00A8210D" w:rsidRDefault="00EF4D58" w:rsidP="00EF4D58">
      <w:pPr>
        <w:ind w:left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Κατά το Υπουργείο (ΦΕΚ 285Δ/05.03.04) </w:t>
      </w:r>
    </w:p>
    <w:p w:rsidR="00EF4D58" w:rsidRPr="00A8210D" w:rsidRDefault="00EF4D58" w:rsidP="00EF4D58">
      <w:pPr>
        <w:ind w:left="851" w:hanging="567"/>
        <w:rPr>
          <w:rFonts w:asciiTheme="majorHAnsi" w:hAnsiTheme="majorHAnsi"/>
        </w:rPr>
      </w:pPr>
      <w:r w:rsidRPr="00A8210D">
        <w:rPr>
          <w:rFonts w:asciiTheme="majorHAnsi" w:hAnsiTheme="majorHAnsi"/>
        </w:rPr>
        <w:t>- Πυκνότητες κάτω από 100 άτομα /</w:t>
      </w:r>
      <w:proofErr w:type="spellStart"/>
      <w:r w:rsidRPr="00A8210D">
        <w:rPr>
          <w:rFonts w:asciiTheme="majorHAnsi" w:hAnsiTheme="majorHAnsi"/>
        </w:rPr>
        <w:t>Ηα</w:t>
      </w:r>
      <w:proofErr w:type="spellEnd"/>
      <w:r w:rsidRPr="00A8210D">
        <w:rPr>
          <w:rFonts w:asciiTheme="majorHAnsi" w:hAnsiTheme="majorHAnsi"/>
        </w:rPr>
        <w:t xml:space="preserve"> επιλέγονται για περιοχές ήπιας οικιστικής ανάπτυξης και παραθεριστικής κατοικίας.</w:t>
      </w:r>
    </w:p>
    <w:p w:rsidR="00EF4D58" w:rsidRPr="00A8210D" w:rsidRDefault="00EF4D58" w:rsidP="00EF4D58">
      <w:pPr>
        <w:ind w:left="851" w:hanging="567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- Πυκνότητες από 100 ως 400 άτομα / </w:t>
      </w:r>
      <w:proofErr w:type="spellStart"/>
      <w:r w:rsidRPr="00A8210D">
        <w:rPr>
          <w:rFonts w:asciiTheme="majorHAnsi" w:hAnsiTheme="majorHAnsi"/>
        </w:rPr>
        <w:t>Ηα</w:t>
      </w:r>
      <w:proofErr w:type="spellEnd"/>
      <w:r w:rsidRPr="00A8210D">
        <w:rPr>
          <w:rFonts w:asciiTheme="majorHAnsi" w:hAnsiTheme="majorHAnsi"/>
        </w:rPr>
        <w:t xml:space="preserve"> είναι αποδεκτές για τους περισσότερους οικισμούς και τις αστικές περιοχές, ενώ</w:t>
      </w:r>
    </w:p>
    <w:p w:rsidR="00EF4D58" w:rsidRPr="00A8210D" w:rsidRDefault="00EF4D58" w:rsidP="00EF4D58">
      <w:pPr>
        <w:ind w:left="851" w:hanging="567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- Πυκνότητες από 400 ως 600 άτομα / </w:t>
      </w:r>
      <w:proofErr w:type="spellStart"/>
      <w:r w:rsidRPr="00A8210D">
        <w:rPr>
          <w:rFonts w:asciiTheme="majorHAnsi" w:hAnsiTheme="majorHAnsi"/>
        </w:rPr>
        <w:t>Ηα</w:t>
      </w:r>
      <w:proofErr w:type="spellEnd"/>
      <w:r w:rsidRPr="00A8210D">
        <w:rPr>
          <w:rFonts w:asciiTheme="majorHAnsi" w:hAnsiTheme="majorHAnsi"/>
        </w:rPr>
        <w:t xml:space="preserve"> γίνονται αποδεκτές υπό προϋποθέσεις.</w:t>
      </w:r>
    </w:p>
    <w:p w:rsidR="00EF4D58" w:rsidRPr="00A8210D" w:rsidRDefault="00EF4D58" w:rsidP="00EF4D58">
      <w:pPr>
        <w:spacing w:before="120"/>
        <w:ind w:left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Εάν η χωρητικότητα </w:t>
      </w:r>
      <w:r w:rsidRPr="00A8210D">
        <w:rPr>
          <w:rFonts w:asciiTheme="majorHAnsi" w:hAnsiTheme="majorHAnsi"/>
          <w:b/>
          <w:lang w:val="en-US"/>
        </w:rPr>
        <w:t>C</w:t>
      </w:r>
      <w:r w:rsidRPr="00A8210D">
        <w:rPr>
          <w:rFonts w:asciiTheme="majorHAnsi" w:hAnsiTheme="majorHAnsi"/>
          <w:b/>
        </w:rPr>
        <w:t xml:space="preserve"> </w:t>
      </w:r>
      <w:r w:rsidRPr="00A8210D">
        <w:rPr>
          <w:rFonts w:asciiTheme="majorHAnsi" w:hAnsiTheme="majorHAnsi"/>
        </w:rPr>
        <w:t>είναι ίση ή μεγαλύτερη από τον πληθυσμό που εκτιμήσαμε στο 1, παραπάνω, τότε η επιφάνεια του σχεδίου είναι αρκετή.</w:t>
      </w:r>
    </w:p>
    <w:p w:rsidR="00EF4D58" w:rsidRPr="001B1423" w:rsidRDefault="00EF4D58" w:rsidP="00EF4D58">
      <w:pPr>
        <w:spacing w:before="120"/>
        <w:ind w:left="170"/>
        <w:rPr>
          <w:rFonts w:asciiTheme="majorHAnsi" w:hAnsiTheme="majorHAnsi"/>
        </w:rPr>
      </w:pPr>
      <w:r w:rsidRPr="00A8210D">
        <w:rPr>
          <w:rFonts w:asciiTheme="majorHAnsi" w:hAnsiTheme="majorHAnsi"/>
          <w:i/>
        </w:rPr>
        <w:t>Η διαδικασία μπορεί να προσαρμόζεται / απλοποιείται κατά τις ειδικότερες συνθήκες.</w:t>
      </w:r>
    </w:p>
    <w:p w:rsidR="00FD1EEC" w:rsidRDefault="00EF4D58"/>
    <w:sectPr w:rsidR="00FD1EEC" w:rsidSect="003001CE">
      <w:footerReference w:type="even" r:id="rId5"/>
      <w:footerReference w:type="default" r:id="rId6"/>
      <w:pgSz w:w="16840" w:h="11900" w:orient="landscape"/>
      <w:pgMar w:top="1" w:right="1440" w:bottom="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22" w:rsidRDefault="00EF4D58" w:rsidP="000614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4</w:t>
    </w:r>
    <w:r>
      <w:rPr>
        <w:rStyle w:val="a4"/>
      </w:rPr>
      <w:fldChar w:fldCharType="end"/>
    </w:r>
  </w:p>
  <w:p w:rsidR="000C4E22" w:rsidRDefault="00EF4D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22" w:rsidRPr="00194F75" w:rsidRDefault="00EF4D58" w:rsidP="000614DF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194F75">
      <w:rPr>
        <w:rStyle w:val="a4"/>
        <w:sz w:val="18"/>
        <w:szCs w:val="18"/>
      </w:rPr>
      <w:fldChar w:fldCharType="begin"/>
    </w:r>
    <w:r w:rsidRPr="00194F75">
      <w:rPr>
        <w:rStyle w:val="a4"/>
        <w:sz w:val="18"/>
        <w:szCs w:val="18"/>
      </w:rPr>
      <w:instrText xml:space="preserve">PAGE  </w:instrText>
    </w:r>
    <w:r w:rsidRPr="00194F75">
      <w:rPr>
        <w:rStyle w:val="a4"/>
        <w:sz w:val="18"/>
        <w:szCs w:val="18"/>
      </w:rPr>
      <w:fldChar w:fldCharType="separate"/>
    </w:r>
    <w:r>
      <w:rPr>
        <w:rStyle w:val="a4"/>
        <w:sz w:val="18"/>
        <w:szCs w:val="18"/>
      </w:rPr>
      <w:t>1</w:t>
    </w:r>
    <w:r w:rsidRPr="00194F75">
      <w:rPr>
        <w:rStyle w:val="a4"/>
        <w:sz w:val="18"/>
        <w:szCs w:val="18"/>
      </w:rPr>
      <w:fldChar w:fldCharType="end"/>
    </w:r>
  </w:p>
  <w:p w:rsidR="000C4E22" w:rsidRDefault="00EF4D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58"/>
    <w:rsid w:val="00C07709"/>
    <w:rsid w:val="00EF4D58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D58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Char">
    <w:name w:val="Υποσέλιδο Char"/>
    <w:basedOn w:val="a0"/>
    <w:link w:val="a3"/>
    <w:rsid w:val="00EF4D58"/>
    <w:rPr>
      <w:rFonts w:ascii="Times New Roman" w:eastAsia="Times New Roman" w:hAnsi="Times New Roman" w:cs="Times New Roman"/>
      <w:noProof/>
      <w:sz w:val="20"/>
      <w:szCs w:val="20"/>
      <w:lang w:eastAsia="el-GR"/>
    </w:rPr>
  </w:style>
  <w:style w:type="character" w:styleId="a4">
    <w:name w:val="page number"/>
    <w:basedOn w:val="a0"/>
    <w:rsid w:val="00EF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D58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Char">
    <w:name w:val="Υποσέλιδο Char"/>
    <w:basedOn w:val="a0"/>
    <w:link w:val="a3"/>
    <w:rsid w:val="00EF4D58"/>
    <w:rPr>
      <w:rFonts w:ascii="Times New Roman" w:eastAsia="Times New Roman" w:hAnsi="Times New Roman" w:cs="Times New Roman"/>
      <w:noProof/>
      <w:sz w:val="20"/>
      <w:szCs w:val="20"/>
      <w:lang w:eastAsia="el-GR"/>
    </w:rPr>
  </w:style>
  <w:style w:type="character" w:styleId="a4">
    <w:name w:val="page number"/>
    <w:basedOn w:val="a0"/>
    <w:rsid w:val="00EF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1</cp:revision>
  <dcterms:created xsi:type="dcterms:W3CDTF">2018-11-04T20:16:00Z</dcterms:created>
  <dcterms:modified xsi:type="dcterms:W3CDTF">2018-11-04T20:16:00Z</dcterms:modified>
</cp:coreProperties>
</file>