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D6" w:rsidRPr="00327ED1" w:rsidRDefault="00187AD6" w:rsidP="00187AD6">
      <w:pPr>
        <w:pStyle w:val="Web"/>
        <w:pBdr>
          <w:top w:val="single" w:sz="4" w:space="1" w:color="auto"/>
        </w:pBdr>
        <w:spacing w:before="0" w:beforeAutospacing="0" w:after="0" w:afterAutospacing="0"/>
        <w:jc w:val="center"/>
        <w:rPr>
          <w:rFonts w:ascii="Courier" w:hAnsi="Courier"/>
          <w:b/>
          <w:sz w:val="20"/>
          <w:szCs w:val="20"/>
        </w:rPr>
      </w:pPr>
      <w:r>
        <w:rPr>
          <w:rFonts w:ascii="Courier" w:hAnsi="Courier"/>
          <w:sz w:val="20"/>
          <w:szCs w:val="20"/>
        </w:rPr>
        <w:t>      </w:t>
      </w:r>
      <w:r w:rsidRPr="0056593E">
        <w:rPr>
          <w:rFonts w:ascii="Courier" w:hAnsi="Courier"/>
          <w:b/>
          <w:sz w:val="20"/>
          <w:szCs w:val="20"/>
          <w:highlight w:val="yellow"/>
        </w:rPr>
        <w:t>ΕΙΣΦΟΡΑ ΣΕ ΓΗ</w:t>
      </w:r>
    </w:p>
    <w:p w:rsidR="002403C4" w:rsidRDefault="00187AD6">
      <w:r w:rsidRPr="00187AD6">
        <w:rPr>
          <w:rFonts w:ascii="Courier" w:hAnsi="Courier"/>
          <w:sz w:val="20"/>
          <w:szCs w:val="20"/>
          <w:lang w:val="el-GR"/>
        </w:rPr>
        <w:t xml:space="preserve">1. Οι ιδιοκτησίες που περιλαμβάνονται σε </w:t>
      </w:r>
      <w:proofErr w:type="spellStart"/>
      <w:r w:rsidRPr="00187AD6">
        <w:rPr>
          <w:rFonts w:ascii="Courier" w:hAnsi="Courier"/>
          <w:sz w:val="20"/>
          <w:szCs w:val="20"/>
          <w:lang w:val="el-GR"/>
        </w:rPr>
        <w:t>πολεοδομούμενες</w:t>
      </w:r>
      <w:proofErr w:type="spellEnd"/>
      <w:r w:rsidRPr="00187AD6">
        <w:rPr>
          <w:rFonts w:ascii="Courier" w:hAnsi="Courier"/>
          <w:sz w:val="20"/>
          <w:szCs w:val="20"/>
          <w:lang w:val="el-GR"/>
        </w:rPr>
        <w:t xml:space="preserve"> για πρώτη φορά περιοχές υποχρεούνται να συμμετάσχουν με εισφορά σε γη για τη δημιουργία των απαραίτητων κοινόχρηστων χώρων και γενικά την ικανοποίηση κοινωφελών χρήσεων και σκοπών, σύμφωνα με τις διατάξεις της παρ.4 του </w:t>
      </w:r>
      <w:hyperlink r:id="rId4" w:tgtFrame="new" w:history="1">
        <w:r w:rsidRPr="00187AD6">
          <w:rPr>
            <w:rStyle w:val="-"/>
            <w:rFonts w:ascii="Courier" w:hAnsi="Courier"/>
            <w:sz w:val="20"/>
            <w:szCs w:val="20"/>
            <w:highlight w:val="yellow"/>
            <w:lang w:val="el-GR"/>
          </w:rPr>
          <w:t>Αρθ-8</w:t>
        </w:r>
      </w:hyperlink>
      <w:r w:rsidRPr="00B0444F">
        <w:rPr>
          <w:rFonts w:ascii="Courier" w:hAnsi="Courier"/>
          <w:sz w:val="20"/>
          <w:szCs w:val="20"/>
          <w:highlight w:val="yellow"/>
        </w:rPr>
        <w:t> </w:t>
      </w:r>
      <w:r w:rsidRPr="00187AD6">
        <w:rPr>
          <w:rFonts w:ascii="Courier" w:hAnsi="Courier"/>
          <w:sz w:val="20"/>
          <w:szCs w:val="20"/>
          <w:highlight w:val="yellow"/>
          <w:lang w:val="el-GR"/>
        </w:rPr>
        <w:t xml:space="preserve"> του Ν-1337/8</w:t>
      </w:r>
      <w:r w:rsidRPr="00187AD6">
        <w:rPr>
          <w:rFonts w:ascii="Courier" w:hAnsi="Courier"/>
          <w:sz w:val="20"/>
          <w:szCs w:val="20"/>
          <w:lang w:val="el-GR"/>
        </w:rPr>
        <w:t xml:space="preserve">3, όπως συμπληρώθηκε με την </w:t>
      </w:r>
      <w:proofErr w:type="spellStart"/>
      <w:r w:rsidRPr="00187AD6">
        <w:rPr>
          <w:rFonts w:ascii="Courier" w:hAnsi="Courier"/>
          <w:sz w:val="20"/>
          <w:szCs w:val="20"/>
          <w:lang w:val="el-GR"/>
        </w:rPr>
        <w:t>περιπτ.β</w:t>
      </w:r>
      <w:proofErr w:type="spellEnd"/>
      <w:r w:rsidRPr="00187AD6">
        <w:rPr>
          <w:rFonts w:ascii="Courier" w:hAnsi="Courier"/>
          <w:sz w:val="20"/>
          <w:szCs w:val="20"/>
          <w:lang w:val="el-GR"/>
        </w:rPr>
        <w:t xml:space="preserve"> της παρ.3 του </w:t>
      </w:r>
      <w:hyperlink r:id="rId5" w:tgtFrame="new" w:history="1">
        <w:r w:rsidRPr="00187AD6">
          <w:rPr>
            <w:rStyle w:val="-"/>
            <w:rFonts w:ascii="Courier" w:hAnsi="Courier"/>
            <w:sz w:val="20"/>
            <w:szCs w:val="20"/>
            <w:lang w:val="el-GR"/>
          </w:rPr>
          <w:t>Αρθ-23</w:t>
        </w:r>
      </w:hyperlink>
      <w:r>
        <w:rPr>
          <w:rFonts w:ascii="Courier" w:hAnsi="Courier"/>
          <w:sz w:val="20"/>
          <w:szCs w:val="20"/>
        </w:rPr>
        <w:t> </w:t>
      </w:r>
      <w:r w:rsidRPr="00187AD6">
        <w:rPr>
          <w:rFonts w:ascii="Courier" w:hAnsi="Courier"/>
          <w:sz w:val="20"/>
          <w:szCs w:val="20"/>
          <w:lang w:val="el-GR"/>
        </w:rPr>
        <w:t xml:space="preserve"> του Ν-2300/95 (ΦΕΚ-69/Α), με την επιφύλαξη των διατάξεων της παρ.4 του </w:t>
      </w:r>
      <w:hyperlink r:id="rId6" w:tgtFrame="new" w:history="1">
        <w:r w:rsidRPr="00187AD6">
          <w:rPr>
            <w:rStyle w:val="-"/>
            <w:rFonts w:ascii="Courier" w:hAnsi="Courier"/>
            <w:sz w:val="20"/>
            <w:szCs w:val="20"/>
            <w:lang w:val="el-GR"/>
          </w:rPr>
          <w:t>Αρθ-12</w:t>
        </w:r>
      </w:hyperlink>
      <w:r w:rsidRPr="00187AD6">
        <w:rPr>
          <w:rFonts w:ascii="Courier" w:hAnsi="Courier"/>
          <w:sz w:val="20"/>
          <w:szCs w:val="20"/>
          <w:lang w:val="el-GR"/>
        </w:rPr>
        <w:t xml:space="preserve"> </w:t>
      </w:r>
      <w:r>
        <w:rPr>
          <w:rFonts w:ascii="Courier" w:hAnsi="Courier"/>
          <w:sz w:val="20"/>
          <w:szCs w:val="20"/>
        </w:rPr>
        <w:t> </w:t>
      </w:r>
      <w:r w:rsidRPr="00187AD6">
        <w:rPr>
          <w:rFonts w:ascii="Courier" w:hAnsi="Courier"/>
          <w:sz w:val="20"/>
          <w:szCs w:val="20"/>
          <w:lang w:val="el-GR"/>
        </w:rPr>
        <w:t xml:space="preserve"> του Ν-1647/86 (ΦΕΚ-141/Α).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 (Σ.Σ βλέπε οδηγίες</w:t>
      </w:r>
      <w:r w:rsidRPr="00187AD6">
        <w:rPr>
          <w:rFonts w:ascii="Courier" w:hAnsi="Courier"/>
          <w:sz w:val="20"/>
          <w:szCs w:val="20"/>
          <w:lang w:val="el-GR"/>
        </w:rPr>
        <w:br/>
      </w:r>
      <w:r>
        <w:rPr>
          <w:rFonts w:ascii="Courier" w:hAnsi="Courier"/>
          <w:sz w:val="20"/>
          <w:szCs w:val="20"/>
        </w:rPr>
        <w:t>      </w:t>
      </w:r>
      <w:proofErr w:type="spellStart"/>
      <w:r w:rsidRPr="00187AD6">
        <w:rPr>
          <w:rFonts w:ascii="Courier" w:hAnsi="Courier"/>
          <w:sz w:val="20"/>
          <w:szCs w:val="20"/>
          <w:lang w:val="el-GR"/>
        </w:rPr>
        <w:t>Εγκ</w:t>
      </w:r>
      <w:proofErr w:type="spellEnd"/>
      <w:r w:rsidRPr="00187AD6">
        <w:rPr>
          <w:rFonts w:ascii="Courier" w:hAnsi="Courier"/>
          <w:sz w:val="20"/>
          <w:szCs w:val="20"/>
          <w:lang w:val="el-GR"/>
        </w:rPr>
        <w:t xml:space="preserve">-ΔΤΕ/Β/10891/406/30/5-3-04 </w:t>
      </w:r>
      <w:hyperlink r:id="rId7" w:tgtFrame="new" w:history="1">
        <w:r w:rsidRPr="00187AD6">
          <w:rPr>
            <w:rStyle w:val="-"/>
            <w:rFonts w:ascii="Courier" w:hAnsi="Courier"/>
            <w:sz w:val="20"/>
            <w:szCs w:val="20"/>
            <w:lang w:val="el-GR"/>
          </w:rPr>
          <w:t>Εγκ-30/04</w:t>
        </w:r>
      </w:hyperlink>
      <w:r w:rsidRPr="00187AD6">
        <w:rPr>
          <w:rFonts w:ascii="Courier" w:hAnsi="Courier"/>
          <w:sz w:val="20"/>
          <w:szCs w:val="20"/>
          <w:lang w:val="el-GR"/>
        </w:rPr>
        <w:t xml:space="preserve"> </w:t>
      </w:r>
      <w:r>
        <w:rPr>
          <w:rFonts w:ascii="Courier" w:hAnsi="Courier"/>
          <w:sz w:val="20"/>
          <w:szCs w:val="20"/>
        </w:rPr>
        <w:t> </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Κατηγοριοποίηση και διάκριση </w:t>
      </w:r>
      <w:proofErr w:type="spellStart"/>
      <w:r w:rsidRPr="00187AD6">
        <w:rPr>
          <w:rFonts w:ascii="Courier" w:hAnsi="Courier"/>
          <w:sz w:val="20"/>
          <w:szCs w:val="20"/>
          <w:lang w:val="el-GR"/>
        </w:rPr>
        <w:t>κατα</w:t>
      </w:r>
      <w:proofErr w:type="spellEnd"/>
      <w:r w:rsidRPr="00187AD6">
        <w:rPr>
          <w:rFonts w:ascii="Courier" w:hAnsi="Courier"/>
          <w:sz w:val="20"/>
          <w:szCs w:val="20"/>
          <w:lang w:val="el-GR"/>
        </w:rPr>
        <w:t xml:space="preserve"> περίπτωση</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των διατάξεων για την εισφορά σε γη όπως ισχύουν και</w:t>
      </w:r>
      <w:r w:rsidRPr="00187AD6">
        <w:rPr>
          <w:rFonts w:ascii="Courier" w:hAnsi="Courier"/>
          <w:sz w:val="20"/>
          <w:szCs w:val="20"/>
          <w:lang w:val="el-GR"/>
        </w:rPr>
        <w:br/>
      </w:r>
      <w:r>
        <w:rPr>
          <w:rFonts w:ascii="Courier" w:hAnsi="Courier"/>
          <w:sz w:val="20"/>
          <w:szCs w:val="20"/>
        </w:rPr>
        <w:t>      </w:t>
      </w:r>
      <w:proofErr w:type="spellStart"/>
      <w:r w:rsidRPr="00187AD6">
        <w:rPr>
          <w:rFonts w:ascii="Courier" w:hAnsi="Courier"/>
          <w:sz w:val="20"/>
          <w:szCs w:val="20"/>
          <w:lang w:val="el-GR"/>
        </w:rPr>
        <w:t>Εγκ</w:t>
      </w:r>
      <w:proofErr w:type="spellEnd"/>
      <w:r w:rsidRPr="00187AD6">
        <w:rPr>
          <w:rFonts w:ascii="Courier" w:hAnsi="Courier"/>
          <w:sz w:val="20"/>
          <w:szCs w:val="20"/>
          <w:lang w:val="el-GR"/>
        </w:rPr>
        <w:t xml:space="preserve">-ΔΤΕ/β/10888/405/04 </w:t>
      </w:r>
      <w:hyperlink r:id="rId8" w:tgtFrame="new" w:history="1">
        <w:r w:rsidRPr="00187AD6">
          <w:rPr>
            <w:rStyle w:val="-"/>
            <w:rFonts w:ascii="Courier" w:hAnsi="Courier"/>
            <w:sz w:val="20"/>
            <w:szCs w:val="20"/>
            <w:lang w:val="el-GR"/>
          </w:rPr>
          <w:t>Εγκ-31/04</w:t>
        </w:r>
      </w:hyperlink>
      <w:r>
        <w:rPr>
          <w:rFonts w:ascii="Courier" w:hAnsi="Courier"/>
          <w:sz w:val="20"/>
          <w:szCs w:val="20"/>
        </w:rPr>
        <w:t> </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 Οδηγίες και Καταγραφή των ισχυουσών διατάξεων</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 που αφορούν στις Εισφορές σε Χρήμα, όσον αφορά,</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 στα ποσοστά που εφαρμόζονται και </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 στη διαδικασία υπολογισμού και είσπραξης)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2. Κατ' εξαίρεση της παρ.1 του παρόντος: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α) Οι ιδιοκτησίες που περιλαμβάνονται σε περιοχές δεύτερης κατοικίας του ΠΔ/16-8-85 (ΦΕΚ-416/Δ), όπως τροποποιήθηκε και συμπληρώθηκε με τα Αρθ-1 και 2 του Ν-2242/94, υποχρεούνται να συμμετάσχουν με εισφορά σε γη, σύμφωνα με τα ποσοστά που καθορίζονται στην παρ.2 του Αρθ-6 του ως άνω ΠΔ/16-8-85.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"β) Οι ιδιοκτησίες που εντάσσονται στο </w:t>
      </w:r>
      <w:proofErr w:type="spellStart"/>
      <w:r w:rsidRPr="00187AD6">
        <w:rPr>
          <w:rFonts w:ascii="Courier" w:hAnsi="Courier"/>
          <w:sz w:val="20"/>
          <w:szCs w:val="20"/>
          <w:lang w:val="el-GR"/>
        </w:rPr>
        <w:t>πολεδομικό</w:t>
      </w:r>
      <w:proofErr w:type="spellEnd"/>
      <w:r w:rsidRPr="00187AD6">
        <w:rPr>
          <w:rFonts w:ascii="Courier" w:hAnsi="Courier"/>
          <w:sz w:val="20"/>
          <w:szCs w:val="20"/>
          <w:lang w:val="el-GR"/>
        </w:rPr>
        <w:t xml:space="preserve"> σχέδιο και βρίσκονται εκτός των ορίων του </w:t>
      </w:r>
      <w:proofErr w:type="spellStart"/>
      <w:r w:rsidRPr="00187AD6">
        <w:rPr>
          <w:rFonts w:ascii="Courier" w:hAnsi="Courier"/>
          <w:sz w:val="20"/>
          <w:szCs w:val="20"/>
          <w:lang w:val="el-GR"/>
        </w:rPr>
        <w:t>οικσιμού</w:t>
      </w:r>
      <w:proofErr w:type="spellEnd"/>
      <w:r w:rsidRPr="00187AD6">
        <w:rPr>
          <w:rFonts w:ascii="Courier" w:hAnsi="Courier"/>
          <w:sz w:val="20"/>
          <w:szCs w:val="20"/>
          <w:lang w:val="el-GR"/>
        </w:rPr>
        <w:t xml:space="preserve"> με πληθυσμό </w:t>
      </w:r>
      <w:r w:rsidRPr="00187AD6">
        <w:rPr>
          <w:rFonts w:ascii="Courier" w:hAnsi="Courier"/>
          <w:sz w:val="20"/>
          <w:szCs w:val="20"/>
          <w:highlight w:val="yellow"/>
          <w:lang w:val="el-GR"/>
        </w:rPr>
        <w:t>μέχρι δύο χιλιάδες (2000) κατοίκους κατά το Αρθ-19 του παρόντος</w:t>
      </w:r>
      <w:r w:rsidRPr="00187AD6">
        <w:rPr>
          <w:rFonts w:ascii="Courier" w:hAnsi="Courier"/>
          <w:sz w:val="20"/>
          <w:szCs w:val="20"/>
          <w:lang w:val="el-GR"/>
        </w:rPr>
        <w:t xml:space="preserve">, είτε οι οικισμού αυτοί εντάσσονται σε ΓΠΣ είτε σε ΣΧΟΟΑΠ, μη </w:t>
      </w:r>
      <w:proofErr w:type="spellStart"/>
      <w:r w:rsidRPr="00187AD6">
        <w:rPr>
          <w:rFonts w:ascii="Courier" w:hAnsi="Courier"/>
          <w:sz w:val="20"/>
          <w:szCs w:val="20"/>
          <w:lang w:val="el-GR"/>
        </w:rPr>
        <w:t>συμπεριλαμβανομέων</w:t>
      </w:r>
      <w:proofErr w:type="spellEnd"/>
      <w:r w:rsidRPr="00187AD6">
        <w:rPr>
          <w:rFonts w:ascii="Courier" w:hAnsi="Courier"/>
          <w:sz w:val="20"/>
          <w:szCs w:val="20"/>
          <w:lang w:val="el-GR"/>
        </w:rPr>
        <w:t xml:space="preserve"> των οικισμών της </w:t>
      </w:r>
      <w:proofErr w:type="spellStart"/>
      <w:r w:rsidRPr="00187AD6">
        <w:rPr>
          <w:rFonts w:ascii="Courier" w:hAnsi="Courier"/>
          <w:sz w:val="20"/>
          <w:szCs w:val="20"/>
          <w:lang w:val="el-GR"/>
        </w:rPr>
        <w:t>περιπτ.α</w:t>
      </w:r>
      <w:proofErr w:type="spellEnd"/>
      <w:r w:rsidRPr="00187AD6">
        <w:rPr>
          <w:rFonts w:ascii="Courier" w:hAnsi="Courier"/>
          <w:sz w:val="20"/>
          <w:szCs w:val="20"/>
          <w:lang w:val="el-GR"/>
        </w:rPr>
        <w:t xml:space="preserve"> της παρ.1 του Αρθ-9 του ΠΔ/20-8-85 (ΦΕΚ-414/Δ/85) υποχρεούνται να συμμετάσχουν με εισφορά σε γη ως εξής:"</w:t>
      </w:r>
      <w:r w:rsidRPr="00187AD6">
        <w:rPr>
          <w:rFonts w:ascii="Courier" w:hAnsi="Courier"/>
          <w:sz w:val="20"/>
          <w:szCs w:val="20"/>
          <w:lang w:val="el-GR"/>
        </w:rPr>
        <w:br/>
      </w:r>
      <w:r>
        <w:rPr>
          <w:rFonts w:ascii="Courier" w:hAnsi="Courier"/>
          <w:sz w:val="20"/>
          <w:szCs w:val="20"/>
        </w:rPr>
        <w:t>      </w:t>
      </w:r>
      <w:r w:rsidRPr="00187AD6">
        <w:rPr>
          <w:rStyle w:val="a3"/>
          <w:rFonts w:ascii="Courier" w:hAnsi="Courier"/>
          <w:sz w:val="20"/>
          <w:szCs w:val="20"/>
          <w:lang w:val="el-GR"/>
        </w:rPr>
        <w:t>(Σ.Σ Το εντός "..." εδάφιο α της περίπτωσης β τίθεται ως</w:t>
      </w:r>
      <w:r>
        <w:rPr>
          <w:rStyle w:val="a3"/>
          <w:rFonts w:ascii="Courier" w:hAnsi="Courier"/>
          <w:sz w:val="20"/>
          <w:szCs w:val="20"/>
        </w:rPr>
        <w:t> </w:t>
      </w:r>
      <w:r w:rsidRPr="00187AD6">
        <w:rPr>
          <w:rFonts w:ascii="Courier" w:hAnsi="Courier"/>
          <w:b/>
          <w:bCs/>
          <w:sz w:val="20"/>
          <w:szCs w:val="20"/>
          <w:lang w:val="el-GR"/>
        </w:rPr>
        <w:br/>
      </w:r>
      <w:r>
        <w:rPr>
          <w:rStyle w:val="a3"/>
          <w:rFonts w:ascii="Courier" w:hAnsi="Courier"/>
          <w:sz w:val="20"/>
          <w:szCs w:val="20"/>
        </w:rPr>
        <w:t>      </w:t>
      </w:r>
      <w:proofErr w:type="spellStart"/>
      <w:r w:rsidRPr="00187AD6">
        <w:rPr>
          <w:rStyle w:val="a3"/>
          <w:rFonts w:ascii="Courier" w:hAnsi="Courier"/>
          <w:sz w:val="20"/>
          <w:szCs w:val="20"/>
          <w:lang w:val="el-GR"/>
        </w:rPr>
        <w:t>αντικατεστάθη</w:t>
      </w:r>
      <w:proofErr w:type="spellEnd"/>
      <w:r w:rsidRPr="00187AD6">
        <w:rPr>
          <w:rStyle w:val="a3"/>
          <w:rFonts w:ascii="Courier" w:hAnsi="Courier"/>
          <w:sz w:val="20"/>
          <w:szCs w:val="20"/>
          <w:lang w:val="el-GR"/>
        </w:rPr>
        <w:t xml:space="preserve"> με την παρ.12 Αρθ-28 του Ν-2831/00</w:t>
      </w:r>
      <w:r w:rsidRPr="00187AD6">
        <w:rPr>
          <w:rFonts w:ascii="Courier" w:hAnsi="Courier"/>
          <w:b/>
          <w:bCs/>
          <w:sz w:val="20"/>
          <w:szCs w:val="20"/>
          <w:lang w:val="el-GR"/>
        </w:rPr>
        <w:br/>
      </w:r>
      <w:r>
        <w:rPr>
          <w:rStyle w:val="a3"/>
          <w:rFonts w:ascii="Courier" w:hAnsi="Courier"/>
          <w:sz w:val="20"/>
          <w:szCs w:val="20"/>
        </w:rPr>
        <w:t>      </w:t>
      </w:r>
      <w:r w:rsidRPr="00187AD6">
        <w:rPr>
          <w:rStyle w:val="a3"/>
          <w:rFonts w:ascii="Courier" w:hAnsi="Courier"/>
          <w:sz w:val="20"/>
          <w:szCs w:val="20"/>
          <w:lang w:val="el-GR"/>
        </w:rPr>
        <w:t>ΦΕΚ-140/</w:t>
      </w:r>
      <w:r>
        <w:rPr>
          <w:rStyle w:val="a3"/>
          <w:rFonts w:ascii="Courier" w:hAnsi="Courier"/>
          <w:sz w:val="20"/>
          <w:szCs w:val="20"/>
        </w:rPr>
        <w:t>A</w:t>
      </w:r>
      <w:r w:rsidRPr="00187AD6">
        <w:rPr>
          <w:rStyle w:val="a3"/>
          <w:rFonts w:ascii="Courier" w:hAnsi="Courier"/>
          <w:sz w:val="20"/>
          <w:szCs w:val="20"/>
          <w:lang w:val="el-GR"/>
        </w:rPr>
        <w:t>/13-6-00)</w:t>
      </w:r>
      <w:r w:rsidRPr="00187AD6">
        <w:rPr>
          <w:rFonts w:ascii="Courier" w:hAnsi="Courier"/>
          <w:sz w:val="20"/>
          <w:szCs w:val="20"/>
          <w:lang w:val="el-GR"/>
        </w:rPr>
        <w:t xml:space="preserve"> </w:t>
      </w:r>
      <w:r w:rsidRPr="00187AD6">
        <w:rPr>
          <w:rFonts w:ascii="Courier" w:hAnsi="Courier"/>
          <w:sz w:val="20"/>
          <w:szCs w:val="20"/>
          <w:lang w:val="el-GR"/>
        </w:rPr>
        <w:br/>
      </w:r>
      <w:bookmarkStart w:id="0" w:name="_GoBack"/>
      <w:bookmarkEnd w:id="0"/>
      <w:r w:rsidRPr="00187AD6">
        <w:rPr>
          <w:rFonts w:ascii="Courier" w:hAnsi="Courier"/>
          <w:sz w:val="20"/>
          <w:szCs w:val="20"/>
          <w:lang w:val="el-GR"/>
        </w:rPr>
        <w:t xml:space="preserve">Για τμήμα ιδιοκτησίας μέχρι </w:t>
      </w:r>
      <w:smartTag w:uri="urn:schemas-microsoft-com:office:smarttags" w:element="metricconverter">
        <w:smartTagPr>
          <w:attr w:name="ProductID" w:val="250 τετραγωνικά μέτρα"/>
        </w:smartTagPr>
        <w:r w:rsidRPr="00187AD6">
          <w:rPr>
            <w:rFonts w:ascii="Courier" w:hAnsi="Courier"/>
            <w:sz w:val="20"/>
            <w:szCs w:val="20"/>
            <w:lang w:val="el-GR"/>
          </w:rPr>
          <w:t>250 τετραγωνικά μέτρα</w:t>
        </w:r>
      </w:smartTag>
      <w:r w:rsidRPr="00187AD6">
        <w:rPr>
          <w:rFonts w:ascii="Courier" w:hAnsi="Courier"/>
          <w:sz w:val="20"/>
          <w:szCs w:val="20"/>
          <w:lang w:val="el-GR"/>
        </w:rPr>
        <w:t xml:space="preserve">, ποσοστό 5%.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Για τμήμα ιδιοκτησίας πάνω από </w:t>
      </w:r>
      <w:smartTag w:uri="urn:schemas-microsoft-com:office:smarttags" w:element="metricconverter">
        <w:smartTagPr>
          <w:attr w:name="ProductID" w:val="250 τετραγωνικά μέτρα"/>
        </w:smartTagPr>
        <w:r w:rsidRPr="00187AD6">
          <w:rPr>
            <w:rFonts w:ascii="Courier" w:hAnsi="Courier"/>
            <w:sz w:val="20"/>
            <w:szCs w:val="20"/>
            <w:lang w:val="el-GR"/>
          </w:rPr>
          <w:t>250 τετραγωνικά μέτρα</w:t>
        </w:r>
      </w:smartTag>
      <w:r w:rsidRPr="00187AD6">
        <w:rPr>
          <w:rFonts w:ascii="Courier" w:hAnsi="Courier"/>
          <w:sz w:val="20"/>
          <w:szCs w:val="20"/>
          <w:lang w:val="el-GR"/>
        </w:rPr>
        <w:t xml:space="preserve"> μέχρι 500</w:t>
      </w:r>
      <w:r>
        <w:rPr>
          <w:rFonts w:ascii="Courier" w:hAnsi="Courier"/>
          <w:sz w:val="20"/>
          <w:szCs w:val="20"/>
        </w:rPr>
        <w:t> </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τετραγωνικά μέτρα, ποσοστό 10%.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Για τμήμα ιδιοκτησίας πάνω από </w:t>
      </w:r>
      <w:smartTag w:uri="urn:schemas-microsoft-com:office:smarttags" w:element="metricconverter">
        <w:smartTagPr>
          <w:attr w:name="ProductID" w:val="500 τετραγωνικά μέτρα"/>
        </w:smartTagPr>
        <w:r w:rsidRPr="00187AD6">
          <w:rPr>
            <w:rFonts w:ascii="Courier" w:hAnsi="Courier"/>
            <w:sz w:val="20"/>
            <w:szCs w:val="20"/>
            <w:lang w:val="el-GR"/>
          </w:rPr>
          <w:t>500 τετραγωνικά μέτρα</w:t>
        </w:r>
      </w:smartTag>
      <w:r w:rsidRPr="00187AD6">
        <w:rPr>
          <w:rFonts w:ascii="Courier" w:hAnsi="Courier"/>
          <w:sz w:val="20"/>
          <w:szCs w:val="20"/>
          <w:lang w:val="el-GR"/>
        </w:rPr>
        <w:t xml:space="preserve"> μέχρι 1000</w:t>
      </w:r>
      <w:r>
        <w:rPr>
          <w:rFonts w:ascii="Courier" w:hAnsi="Courier"/>
          <w:sz w:val="20"/>
          <w:szCs w:val="20"/>
        </w:rPr>
        <w:t> </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τετραγωνικά μέτρα, ποσοστό 15%.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Για τμήμα ιδιοκτησίας πάνω από </w:t>
      </w:r>
      <w:smartTag w:uri="urn:schemas-microsoft-com:office:smarttags" w:element="metricconverter">
        <w:smartTagPr>
          <w:attr w:name="ProductID" w:val="1000 τετραγωνικά μέτρα"/>
        </w:smartTagPr>
        <w:r w:rsidRPr="00187AD6">
          <w:rPr>
            <w:rFonts w:ascii="Courier" w:hAnsi="Courier"/>
            <w:sz w:val="20"/>
            <w:szCs w:val="20"/>
            <w:lang w:val="el-GR"/>
          </w:rPr>
          <w:t>1000 τετραγωνικά μέτρα</w:t>
        </w:r>
      </w:smartTag>
      <w:r w:rsidRPr="00187AD6">
        <w:rPr>
          <w:rFonts w:ascii="Courier" w:hAnsi="Courier"/>
          <w:sz w:val="20"/>
          <w:szCs w:val="20"/>
          <w:lang w:val="el-GR"/>
        </w:rPr>
        <w:t xml:space="preserve"> μέχρι 4000</w:t>
      </w:r>
      <w:r>
        <w:rPr>
          <w:rFonts w:ascii="Courier" w:hAnsi="Courier"/>
          <w:sz w:val="20"/>
          <w:szCs w:val="20"/>
        </w:rPr>
        <w:t> </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τετραγωνικά μέτρα, ποσοστό 25%.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Για τμήμα ιδιοκτησίας πάνω από </w:t>
      </w:r>
      <w:smartTag w:uri="urn:schemas-microsoft-com:office:smarttags" w:element="metricconverter">
        <w:smartTagPr>
          <w:attr w:name="ProductID" w:val="4000 τετραγωνικά μέτρα"/>
        </w:smartTagPr>
        <w:r w:rsidRPr="00187AD6">
          <w:rPr>
            <w:rFonts w:ascii="Courier" w:hAnsi="Courier"/>
            <w:sz w:val="20"/>
            <w:szCs w:val="20"/>
            <w:lang w:val="el-GR"/>
          </w:rPr>
          <w:t>4000 τετραγωνικά μέτρα</w:t>
        </w:r>
      </w:smartTag>
      <w:r w:rsidRPr="00187AD6">
        <w:rPr>
          <w:rFonts w:ascii="Courier" w:hAnsi="Courier"/>
          <w:sz w:val="20"/>
          <w:szCs w:val="20"/>
          <w:lang w:val="el-GR"/>
        </w:rPr>
        <w:t xml:space="preserve"> μέχρι 10000</w:t>
      </w:r>
      <w:r>
        <w:rPr>
          <w:rFonts w:ascii="Courier" w:hAnsi="Courier"/>
          <w:sz w:val="20"/>
          <w:szCs w:val="20"/>
        </w:rPr>
        <w:t> </w:t>
      </w:r>
      <w:r w:rsidRPr="00187AD6">
        <w:rPr>
          <w:rFonts w:ascii="Courier" w:hAnsi="Courier"/>
          <w:sz w:val="20"/>
          <w:szCs w:val="20"/>
          <w:lang w:val="el-GR"/>
        </w:rPr>
        <w:br/>
      </w:r>
      <w:r>
        <w:rPr>
          <w:rFonts w:ascii="Courier" w:hAnsi="Courier"/>
          <w:sz w:val="20"/>
          <w:szCs w:val="20"/>
        </w:rPr>
        <w:t>      </w:t>
      </w:r>
      <w:r w:rsidRPr="00187AD6">
        <w:rPr>
          <w:rFonts w:ascii="Courier" w:hAnsi="Courier"/>
          <w:sz w:val="20"/>
          <w:szCs w:val="20"/>
          <w:lang w:val="el-GR"/>
        </w:rPr>
        <w:t xml:space="preserve">τετραγωνικά μέτρα, ποσοστό 30%. </w:t>
      </w:r>
      <w:r w:rsidRPr="00187AD6">
        <w:rPr>
          <w:rFonts w:ascii="Courier" w:hAnsi="Courier"/>
          <w:sz w:val="20"/>
          <w:szCs w:val="20"/>
          <w:lang w:val="el-GR"/>
        </w:rPr>
        <w:br/>
      </w:r>
      <w:r w:rsidRPr="00187AD6">
        <w:rPr>
          <w:rFonts w:ascii="Courier" w:hAnsi="Courier"/>
          <w:sz w:val="20"/>
          <w:szCs w:val="20"/>
          <w:lang w:val="el-GR"/>
        </w:rPr>
        <w:br/>
      </w:r>
      <w:r>
        <w:rPr>
          <w:rFonts w:ascii="Courier" w:hAnsi="Courier"/>
          <w:sz w:val="20"/>
          <w:szCs w:val="20"/>
        </w:rPr>
        <w:t>      </w:t>
      </w:r>
      <w:proofErr w:type="spellStart"/>
      <w:r>
        <w:rPr>
          <w:rFonts w:ascii="Courier" w:hAnsi="Courier"/>
          <w:sz w:val="20"/>
          <w:szCs w:val="20"/>
        </w:rPr>
        <w:t>Γι</w:t>
      </w:r>
      <w:proofErr w:type="spellEnd"/>
      <w:r>
        <w:rPr>
          <w:rFonts w:ascii="Courier" w:hAnsi="Courier"/>
          <w:sz w:val="20"/>
          <w:szCs w:val="20"/>
        </w:rPr>
        <w:t xml:space="preserve">α </w:t>
      </w:r>
      <w:proofErr w:type="spellStart"/>
      <w:r>
        <w:rPr>
          <w:rFonts w:ascii="Courier" w:hAnsi="Courier"/>
          <w:sz w:val="20"/>
          <w:szCs w:val="20"/>
        </w:rPr>
        <w:t>τμήμ</w:t>
      </w:r>
      <w:proofErr w:type="spellEnd"/>
      <w:r>
        <w:rPr>
          <w:rFonts w:ascii="Courier" w:hAnsi="Courier"/>
          <w:sz w:val="20"/>
          <w:szCs w:val="20"/>
        </w:rPr>
        <w:t xml:space="preserve">α </w:t>
      </w:r>
      <w:proofErr w:type="spellStart"/>
      <w:r>
        <w:rPr>
          <w:rFonts w:ascii="Courier" w:hAnsi="Courier"/>
          <w:sz w:val="20"/>
          <w:szCs w:val="20"/>
        </w:rPr>
        <w:t>ιδιοκτησί</w:t>
      </w:r>
      <w:proofErr w:type="spellEnd"/>
      <w:r>
        <w:rPr>
          <w:rFonts w:ascii="Courier" w:hAnsi="Courier"/>
          <w:sz w:val="20"/>
          <w:szCs w:val="20"/>
        </w:rPr>
        <w:t>ας π</w:t>
      </w:r>
      <w:proofErr w:type="spellStart"/>
      <w:r>
        <w:rPr>
          <w:rFonts w:ascii="Courier" w:hAnsi="Courier"/>
          <w:sz w:val="20"/>
          <w:szCs w:val="20"/>
        </w:rPr>
        <w:t>άνω</w:t>
      </w:r>
      <w:proofErr w:type="spellEnd"/>
      <w:r>
        <w:rPr>
          <w:rFonts w:ascii="Courier" w:hAnsi="Courier"/>
          <w:sz w:val="20"/>
          <w:szCs w:val="20"/>
        </w:rPr>
        <w:t xml:space="preserve"> από </w:t>
      </w:r>
      <w:smartTag w:uri="urn:schemas-microsoft-com:office:smarttags" w:element="metricconverter">
        <w:smartTagPr>
          <w:attr w:name="ProductID" w:val="10000 τετραγωνικά μέτρα"/>
        </w:smartTagPr>
        <w:r>
          <w:rPr>
            <w:rFonts w:ascii="Courier" w:hAnsi="Courier"/>
            <w:sz w:val="20"/>
            <w:szCs w:val="20"/>
          </w:rPr>
          <w:t xml:space="preserve">10000 </w:t>
        </w:r>
        <w:proofErr w:type="spellStart"/>
        <w:r>
          <w:rPr>
            <w:rFonts w:ascii="Courier" w:hAnsi="Courier"/>
            <w:sz w:val="20"/>
            <w:szCs w:val="20"/>
          </w:rPr>
          <w:t>τετρ</w:t>
        </w:r>
        <w:proofErr w:type="spellEnd"/>
        <w:r>
          <w:rPr>
            <w:rFonts w:ascii="Courier" w:hAnsi="Courier"/>
            <w:sz w:val="20"/>
            <w:szCs w:val="20"/>
          </w:rPr>
          <w:t xml:space="preserve">αγωνικά </w:t>
        </w:r>
        <w:proofErr w:type="spellStart"/>
        <w:r>
          <w:rPr>
            <w:rFonts w:ascii="Courier" w:hAnsi="Courier"/>
            <w:sz w:val="20"/>
            <w:szCs w:val="20"/>
          </w:rPr>
          <w:t>μέτρ</w:t>
        </w:r>
        <w:proofErr w:type="spellEnd"/>
        <w:r>
          <w:rPr>
            <w:rFonts w:ascii="Courier" w:hAnsi="Courier"/>
            <w:sz w:val="20"/>
            <w:szCs w:val="20"/>
          </w:rPr>
          <w:t>α</w:t>
        </w:r>
      </w:smartTag>
      <w:r>
        <w:rPr>
          <w:rFonts w:ascii="Courier" w:hAnsi="Courier"/>
          <w:sz w:val="20"/>
          <w:szCs w:val="20"/>
        </w:rPr>
        <w:t>, π</w:t>
      </w:r>
      <w:proofErr w:type="spellStart"/>
      <w:r>
        <w:rPr>
          <w:rFonts w:ascii="Courier" w:hAnsi="Courier"/>
          <w:sz w:val="20"/>
          <w:szCs w:val="20"/>
        </w:rPr>
        <w:t>οσοστό</w:t>
      </w:r>
      <w:proofErr w:type="spellEnd"/>
      <w:r>
        <w:rPr>
          <w:rFonts w:ascii="Courier" w:hAnsi="Courier"/>
          <w:sz w:val="20"/>
          <w:szCs w:val="20"/>
        </w:rPr>
        <w:t xml:space="preserve"> 40%. </w:t>
      </w:r>
      <w:r>
        <w:rPr>
          <w:rFonts w:ascii="Courier" w:hAnsi="Courier"/>
          <w:sz w:val="20"/>
          <w:szCs w:val="20"/>
        </w:rPr>
        <w:br/>
      </w:r>
      <w:r>
        <w:rPr>
          <w:rFonts w:ascii="Courier" w:hAnsi="Courier"/>
          <w:sz w:val="20"/>
          <w:szCs w:val="20"/>
        </w:rPr>
        <w:br/>
      </w:r>
    </w:p>
    <w:sectPr w:rsidR="0024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8C"/>
    <w:rsid w:val="00187AD6"/>
    <w:rsid w:val="002403C4"/>
    <w:rsid w:val="00A1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93CD1E-61EA-4FDE-BA7F-ACF646B5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87AD6"/>
    <w:pPr>
      <w:spacing w:before="100" w:beforeAutospacing="1" w:after="100" w:afterAutospacing="1" w:line="240" w:lineRule="auto"/>
    </w:pPr>
    <w:rPr>
      <w:rFonts w:ascii="Verdana" w:eastAsia="Times New Roman" w:hAnsi="Verdana" w:cs="Times New Roman"/>
      <w:sz w:val="16"/>
      <w:szCs w:val="16"/>
      <w:lang w:val="el-GR" w:eastAsia="el-GR"/>
    </w:rPr>
  </w:style>
  <w:style w:type="character" w:styleId="-">
    <w:name w:val="Hyperlink"/>
    <w:rsid w:val="00187AD6"/>
    <w:rPr>
      <w:strike w:val="0"/>
      <w:dstrike w:val="0"/>
      <w:color w:val="0000FF"/>
      <w:spacing w:val="0"/>
      <w:u w:val="none"/>
      <w:effect w:val="none"/>
    </w:rPr>
  </w:style>
  <w:style w:type="character" w:styleId="a3">
    <w:name w:val="Strong"/>
    <w:qFormat/>
    <w:rsid w:val="00187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db.domiki.gr/webdb/bin/dummy.php" TargetMode="External"/><Relationship Id="rId3" Type="http://schemas.openxmlformats.org/officeDocument/2006/relationships/webSettings" Target="webSettings.xml"/><Relationship Id="rId7" Type="http://schemas.openxmlformats.org/officeDocument/2006/relationships/hyperlink" Target="http://webdb.domiki.gr/webdb/bin/dummy.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db.domiki.gr/webdb/bin/dummy.php" TargetMode="External"/><Relationship Id="rId5" Type="http://schemas.openxmlformats.org/officeDocument/2006/relationships/hyperlink" Target="http://webdb.domiki.gr/webdb/bin/dummy.php" TargetMode="External"/><Relationship Id="rId10" Type="http://schemas.openxmlformats.org/officeDocument/2006/relationships/theme" Target="theme/theme1.xml"/><Relationship Id="rId4" Type="http://schemas.openxmlformats.org/officeDocument/2006/relationships/hyperlink" Target="http://webdb.domiki.gr/webdb/bin/dummy.php"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2</cp:revision>
  <dcterms:created xsi:type="dcterms:W3CDTF">2016-03-30T08:37:00Z</dcterms:created>
  <dcterms:modified xsi:type="dcterms:W3CDTF">2016-03-30T08:41:00Z</dcterms:modified>
</cp:coreProperties>
</file>