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7F16" w:rsidRPr="00037F16" w:rsidRDefault="00037F16" w:rsidP="00037F16">
      <w:pPr>
        <w:pStyle w:val="Web"/>
        <w:spacing w:before="0" w:beforeAutospacing="0" w:after="0" w:afterAutospacing="0"/>
        <w:jc w:val="both"/>
        <w:rPr>
          <w:rFonts w:asciiTheme="minorHAnsi" w:hAnsiTheme="minorHAnsi"/>
          <w:sz w:val="20"/>
          <w:szCs w:val="20"/>
          <w:lang w:val="en-US"/>
        </w:rPr>
      </w:pPr>
    </w:p>
    <w:p w:rsidR="00037F16" w:rsidRPr="008E3598" w:rsidRDefault="00037F16" w:rsidP="00037F16">
      <w:pPr>
        <w:pStyle w:val="Web"/>
        <w:spacing w:before="0" w:beforeAutospacing="0" w:after="0" w:afterAutospacing="0"/>
        <w:jc w:val="both"/>
        <w:rPr>
          <w:rFonts w:asciiTheme="minorHAnsi" w:hAnsiTheme="minorHAnsi"/>
          <w:sz w:val="20"/>
          <w:szCs w:val="20"/>
        </w:rPr>
      </w:pPr>
      <w:r w:rsidRPr="008E3598">
        <w:rPr>
          <w:rFonts w:asciiTheme="minorHAnsi" w:hAnsiTheme="minorHAnsi"/>
          <w:sz w:val="20"/>
          <w:szCs w:val="20"/>
        </w:rPr>
        <w:t>Το Δίκαιο Πολεοδομίας – Χωροταξίας και Περιβάλλοντος ΙΙ έχει ως σκοπό:</w:t>
      </w:r>
    </w:p>
    <w:p w:rsidR="00037F16" w:rsidRDefault="00037F16" w:rsidP="00037F16">
      <w:pPr>
        <w:pStyle w:val="Web"/>
        <w:spacing w:before="0" w:beforeAutospacing="0" w:after="0" w:afterAutospacing="0"/>
        <w:jc w:val="both"/>
        <w:rPr>
          <w:rFonts w:asciiTheme="minorHAnsi" w:hAnsiTheme="minorHAnsi"/>
          <w:sz w:val="20"/>
          <w:szCs w:val="20"/>
        </w:rPr>
      </w:pPr>
    </w:p>
    <w:p w:rsidR="00037F16" w:rsidRPr="008E3598" w:rsidRDefault="00037F16" w:rsidP="00037F16">
      <w:pPr>
        <w:pStyle w:val="Web"/>
        <w:spacing w:before="0" w:beforeAutospacing="0" w:after="0" w:afterAutospacing="0"/>
        <w:jc w:val="both"/>
        <w:rPr>
          <w:rFonts w:asciiTheme="minorHAnsi" w:hAnsiTheme="minorHAnsi"/>
          <w:sz w:val="20"/>
          <w:szCs w:val="20"/>
        </w:rPr>
      </w:pPr>
      <w:r w:rsidRPr="008E3598">
        <w:rPr>
          <w:rFonts w:asciiTheme="minorHAnsi" w:hAnsiTheme="minorHAnsi"/>
          <w:sz w:val="20"/>
          <w:szCs w:val="20"/>
        </w:rPr>
        <w:t xml:space="preserve">α) να καλύψει με όσο το δυνατόν πιο εξαντλητικό και πλήρη τρόπο  και τις τρεις όψεις μέσα από τις οποίες εμφανίζεται στο πεδίο της νομικής επιστήμης, με την θέσπιση και εφαρμογή αντίστοιχων ρυθμίσεων, η σχέση του ανθρώπου με το χώρο (Χωροταξία – Πολεοδομία – Περιβάλλον, βλ. σχετικά και το αναλυτικό περιεχόμενο του μαθήματος «Δίκαιο Πολεοδομίας – </w:t>
      </w:r>
      <w:r w:rsidRPr="008E3598">
        <w:rPr>
          <w:rFonts w:asciiTheme="minorHAnsi" w:hAnsiTheme="minorHAnsi"/>
          <w:sz w:val="20"/>
          <w:szCs w:val="20"/>
          <w:lang w:val="en-US"/>
        </w:rPr>
        <w:t>X</w:t>
      </w:r>
      <w:proofErr w:type="spellStart"/>
      <w:r w:rsidRPr="008E3598">
        <w:rPr>
          <w:rFonts w:asciiTheme="minorHAnsi" w:hAnsiTheme="minorHAnsi"/>
          <w:sz w:val="20"/>
          <w:szCs w:val="20"/>
        </w:rPr>
        <w:t>ωροταξίας</w:t>
      </w:r>
      <w:proofErr w:type="spellEnd"/>
      <w:r w:rsidRPr="008E3598">
        <w:rPr>
          <w:rFonts w:asciiTheme="minorHAnsi" w:hAnsiTheme="minorHAnsi"/>
          <w:sz w:val="20"/>
          <w:szCs w:val="20"/>
        </w:rPr>
        <w:t xml:space="preserve"> και Περι</w:t>
      </w:r>
      <w:r>
        <w:rPr>
          <w:rFonts w:asciiTheme="minorHAnsi" w:hAnsiTheme="minorHAnsi"/>
          <w:sz w:val="20"/>
          <w:szCs w:val="20"/>
        </w:rPr>
        <w:softHyphen/>
      </w:r>
      <w:r w:rsidRPr="008E3598">
        <w:rPr>
          <w:rFonts w:asciiTheme="minorHAnsi" w:hAnsiTheme="minorHAnsi"/>
          <w:sz w:val="20"/>
          <w:szCs w:val="20"/>
        </w:rPr>
        <w:t>βάλλοντος Ι»),</w:t>
      </w:r>
    </w:p>
    <w:p w:rsidR="00037F16" w:rsidRPr="008E3598" w:rsidRDefault="00037F16" w:rsidP="00037F16">
      <w:pPr>
        <w:pStyle w:val="Web"/>
        <w:spacing w:before="0" w:beforeAutospacing="0" w:after="0" w:afterAutospacing="0"/>
        <w:jc w:val="both"/>
        <w:rPr>
          <w:rFonts w:asciiTheme="minorHAnsi" w:hAnsiTheme="minorHAnsi"/>
          <w:sz w:val="20"/>
          <w:szCs w:val="20"/>
        </w:rPr>
      </w:pPr>
      <w:r w:rsidRPr="008E3598">
        <w:rPr>
          <w:rFonts w:asciiTheme="minorHAnsi" w:hAnsiTheme="minorHAnsi"/>
          <w:sz w:val="20"/>
          <w:szCs w:val="20"/>
        </w:rPr>
        <w:t>β) να αναδείξει τις προϋποθέσεις διαμόρφωσης μιας σύγχρονης νομοθετικής πολιτικής στους τομείς της χωροταξίας, πολεοδομίας και περιβάλλοντος και</w:t>
      </w:r>
    </w:p>
    <w:p w:rsidR="00037F16" w:rsidRPr="008E3598" w:rsidRDefault="00037F16" w:rsidP="00037F16">
      <w:pPr>
        <w:pStyle w:val="Web"/>
        <w:spacing w:before="0" w:beforeAutospacing="0" w:after="0" w:afterAutospacing="0"/>
        <w:jc w:val="both"/>
        <w:rPr>
          <w:rFonts w:asciiTheme="minorHAnsi" w:hAnsiTheme="minorHAnsi"/>
          <w:sz w:val="20"/>
          <w:szCs w:val="20"/>
        </w:rPr>
      </w:pPr>
      <w:r w:rsidRPr="008E3598">
        <w:rPr>
          <w:rFonts w:asciiTheme="minorHAnsi" w:hAnsiTheme="minorHAnsi"/>
          <w:sz w:val="20"/>
          <w:szCs w:val="20"/>
        </w:rPr>
        <w:t>γ) να εμβαθύνει, από διεπιστημονική  σκοπιά, στην κατανόηση της χωροταξικής, πολεοδομικής και περιβαλλοντικής νομοθεσίας, μέσα από την ενασχόληση με συγκεκριμένα νομικά κείμενα και συγκεκριμένες περιπτώσεις εφαρμογής τους στον ελληνικό χώρο.</w:t>
      </w:r>
    </w:p>
    <w:p w:rsidR="00037F16" w:rsidRPr="00682806" w:rsidRDefault="00037F16" w:rsidP="00037F16">
      <w:pPr>
        <w:pStyle w:val="Web"/>
        <w:spacing w:before="0" w:beforeAutospacing="0" w:after="0" w:afterAutospacing="0"/>
        <w:jc w:val="both"/>
        <w:rPr>
          <w:rStyle w:val="a3"/>
          <w:rFonts w:asciiTheme="minorHAnsi" w:hAnsiTheme="minorHAnsi"/>
          <w:b w:val="0"/>
          <w:sz w:val="20"/>
          <w:szCs w:val="20"/>
        </w:rPr>
      </w:pPr>
      <w:r w:rsidRPr="00682806">
        <w:rPr>
          <w:rStyle w:val="a3"/>
          <w:rFonts w:asciiTheme="minorHAnsi" w:hAnsiTheme="minorHAnsi"/>
          <w:sz w:val="20"/>
          <w:szCs w:val="20"/>
        </w:rPr>
        <w:t>Ειδικότεροι άξονες ανάπτυξης του Δικαίου του Περιβάλλοντος :</w:t>
      </w:r>
    </w:p>
    <w:p w:rsidR="00037F16" w:rsidRDefault="00037F16" w:rsidP="00037F16">
      <w:pPr>
        <w:pStyle w:val="Web"/>
        <w:spacing w:before="0" w:beforeAutospacing="0" w:after="0" w:afterAutospacing="0"/>
        <w:jc w:val="both"/>
        <w:rPr>
          <w:rFonts w:asciiTheme="minorHAnsi" w:hAnsiTheme="minorHAnsi"/>
          <w:sz w:val="20"/>
          <w:szCs w:val="20"/>
        </w:rPr>
      </w:pPr>
      <w:r>
        <w:rPr>
          <w:rFonts w:asciiTheme="minorHAnsi" w:hAnsiTheme="minorHAnsi"/>
          <w:sz w:val="20"/>
          <w:szCs w:val="20"/>
        </w:rPr>
        <w:t xml:space="preserve">1. </w:t>
      </w:r>
      <w:r w:rsidRPr="00682806">
        <w:rPr>
          <w:rFonts w:asciiTheme="minorHAnsi" w:hAnsiTheme="minorHAnsi"/>
          <w:sz w:val="20"/>
          <w:szCs w:val="20"/>
        </w:rPr>
        <w:t>Γέννηση, εξέλιξη και αρχές του δικαίου του περιβάλλοντος</w:t>
      </w:r>
    </w:p>
    <w:p w:rsidR="00037F16" w:rsidRDefault="00037F16" w:rsidP="00037F16">
      <w:pPr>
        <w:pStyle w:val="Web"/>
        <w:spacing w:before="0" w:beforeAutospacing="0" w:after="0" w:afterAutospacing="0"/>
        <w:jc w:val="both"/>
        <w:rPr>
          <w:rFonts w:asciiTheme="minorHAnsi" w:hAnsiTheme="minorHAnsi"/>
          <w:sz w:val="20"/>
          <w:szCs w:val="20"/>
        </w:rPr>
      </w:pPr>
      <w:r>
        <w:rPr>
          <w:rFonts w:asciiTheme="minorHAnsi" w:hAnsiTheme="minorHAnsi"/>
          <w:sz w:val="20"/>
          <w:szCs w:val="20"/>
        </w:rPr>
        <w:t>2.</w:t>
      </w:r>
      <w:r w:rsidRPr="00682806">
        <w:rPr>
          <w:rFonts w:asciiTheme="minorHAnsi" w:hAnsiTheme="minorHAnsi"/>
          <w:sz w:val="20"/>
          <w:szCs w:val="20"/>
        </w:rPr>
        <w:t xml:space="preserve"> Περιβαλλοντική εκτίμηση και περιβαλλοντική αδειο</w:t>
      </w:r>
      <w:r>
        <w:rPr>
          <w:rFonts w:asciiTheme="minorHAnsi" w:hAnsiTheme="minorHAnsi"/>
          <w:sz w:val="20"/>
          <w:szCs w:val="20"/>
        </w:rPr>
        <w:t>δότηση έργων και δραστηριοτήτων</w:t>
      </w:r>
    </w:p>
    <w:p w:rsidR="00037F16" w:rsidRDefault="00037F16" w:rsidP="00037F16">
      <w:pPr>
        <w:pStyle w:val="Web"/>
        <w:spacing w:before="0" w:beforeAutospacing="0" w:after="0" w:afterAutospacing="0"/>
        <w:jc w:val="both"/>
        <w:rPr>
          <w:rFonts w:asciiTheme="minorHAnsi" w:hAnsiTheme="minorHAnsi"/>
          <w:sz w:val="20"/>
          <w:szCs w:val="20"/>
        </w:rPr>
      </w:pPr>
      <w:r>
        <w:rPr>
          <w:rFonts w:asciiTheme="minorHAnsi" w:hAnsiTheme="minorHAnsi"/>
          <w:sz w:val="20"/>
          <w:szCs w:val="20"/>
        </w:rPr>
        <w:t>3.</w:t>
      </w:r>
      <w:r w:rsidRPr="00682806">
        <w:rPr>
          <w:rFonts w:asciiTheme="minorHAnsi" w:hAnsiTheme="minorHAnsi"/>
          <w:sz w:val="20"/>
          <w:szCs w:val="20"/>
        </w:rPr>
        <w:t xml:space="preserve"> Στρατηγική περιβαλλοντική εκ</w:t>
      </w:r>
      <w:r>
        <w:rPr>
          <w:rFonts w:asciiTheme="minorHAnsi" w:hAnsiTheme="minorHAnsi"/>
          <w:sz w:val="20"/>
          <w:szCs w:val="20"/>
        </w:rPr>
        <w:t>τίμηση σχεδίων και προγραμμάτων</w:t>
      </w:r>
    </w:p>
    <w:p w:rsidR="00037F16" w:rsidRPr="00682806" w:rsidRDefault="00037F16" w:rsidP="00037F16">
      <w:pPr>
        <w:pStyle w:val="Web"/>
        <w:spacing w:before="0" w:beforeAutospacing="0" w:after="0" w:afterAutospacing="0"/>
        <w:jc w:val="both"/>
        <w:rPr>
          <w:rFonts w:asciiTheme="minorHAnsi" w:hAnsiTheme="minorHAnsi"/>
          <w:sz w:val="20"/>
          <w:szCs w:val="20"/>
        </w:rPr>
      </w:pPr>
      <w:r>
        <w:rPr>
          <w:rFonts w:asciiTheme="minorHAnsi" w:hAnsiTheme="minorHAnsi"/>
          <w:sz w:val="20"/>
          <w:szCs w:val="20"/>
        </w:rPr>
        <w:t xml:space="preserve">4.  </w:t>
      </w:r>
      <w:r w:rsidRPr="00682806">
        <w:rPr>
          <w:rFonts w:asciiTheme="minorHAnsi" w:hAnsiTheme="minorHAnsi"/>
          <w:sz w:val="20"/>
          <w:szCs w:val="20"/>
        </w:rPr>
        <w:t>Το δίκαιο της προστασίας και διαχείρισης της φύσης (προστατευόμενες περιοχές, δάση – δασικές εκτάσεις, θάλασσα, βιοποικιλότητα κ.λπ.).</w:t>
      </w:r>
    </w:p>
    <w:p w:rsidR="00037F16" w:rsidRPr="00682806" w:rsidRDefault="00037F16" w:rsidP="00037F16">
      <w:pPr>
        <w:pStyle w:val="Web"/>
        <w:spacing w:before="0" w:beforeAutospacing="0" w:after="0" w:afterAutospacing="0"/>
        <w:jc w:val="both"/>
        <w:rPr>
          <w:rFonts w:asciiTheme="minorHAnsi" w:hAnsiTheme="minorHAnsi"/>
          <w:sz w:val="20"/>
          <w:szCs w:val="20"/>
        </w:rPr>
      </w:pPr>
      <w:r w:rsidRPr="00682806">
        <w:rPr>
          <w:rFonts w:asciiTheme="minorHAnsi" w:hAnsiTheme="minorHAnsi"/>
          <w:sz w:val="20"/>
          <w:szCs w:val="20"/>
        </w:rPr>
        <w:t>5. Το δίκαιο των φυσικών πόρων (διαχείριση των υδάτων, ανανεώσιμες πηγές ενέργειας)</w:t>
      </w:r>
      <w:r w:rsidRPr="00682806">
        <w:rPr>
          <w:rFonts w:asciiTheme="minorHAnsi" w:hAnsiTheme="minorHAnsi"/>
          <w:sz w:val="20"/>
          <w:szCs w:val="20"/>
        </w:rPr>
        <w:br/>
        <w:t>6. Παγκόσμια περιβαλλοντικά προβλήματα (διεθνείς συμβάσεις για τη θέρμανση του κλίματος, την ερημοποίηση και το τοπίο)</w:t>
      </w:r>
    </w:p>
    <w:p w:rsidR="00037F16" w:rsidRPr="00682806" w:rsidRDefault="00037F16" w:rsidP="00037F16">
      <w:pPr>
        <w:pStyle w:val="Web"/>
        <w:spacing w:before="0" w:beforeAutospacing="0" w:after="0" w:afterAutospacing="0"/>
        <w:jc w:val="both"/>
        <w:rPr>
          <w:rFonts w:asciiTheme="minorHAnsi" w:hAnsiTheme="minorHAnsi"/>
          <w:sz w:val="20"/>
          <w:szCs w:val="20"/>
        </w:rPr>
      </w:pPr>
      <w:r w:rsidRPr="00682806">
        <w:rPr>
          <w:rFonts w:asciiTheme="minorHAnsi" w:hAnsiTheme="minorHAnsi"/>
          <w:sz w:val="20"/>
          <w:szCs w:val="20"/>
        </w:rPr>
        <w:t>7. Στάθμιση συνταγματικά προστατευόμενων δικαιωμάτων (προστασία του περιβάλλοντος, ιδιοκτησία, οικονομική ελευθερία κ.λπ.)</w:t>
      </w:r>
    </w:p>
    <w:p w:rsidR="00037F16" w:rsidRDefault="00037F16" w:rsidP="00037F16">
      <w:pPr>
        <w:pStyle w:val="Web"/>
        <w:spacing w:before="0" w:beforeAutospacing="0" w:after="0" w:afterAutospacing="0"/>
        <w:jc w:val="both"/>
        <w:rPr>
          <w:rFonts w:asciiTheme="minorHAnsi" w:hAnsiTheme="minorHAnsi"/>
          <w:sz w:val="20"/>
          <w:szCs w:val="20"/>
        </w:rPr>
      </w:pPr>
      <w:r w:rsidRPr="00682806">
        <w:rPr>
          <w:rFonts w:asciiTheme="minorHAnsi" w:hAnsiTheme="minorHAnsi"/>
          <w:sz w:val="20"/>
          <w:szCs w:val="20"/>
        </w:rPr>
        <w:t xml:space="preserve">8. Μορφές </w:t>
      </w:r>
      <w:proofErr w:type="spellStart"/>
      <w:r w:rsidRPr="00682806">
        <w:rPr>
          <w:rFonts w:asciiTheme="minorHAnsi" w:hAnsiTheme="minorHAnsi"/>
          <w:sz w:val="20"/>
          <w:szCs w:val="20"/>
        </w:rPr>
        <w:t>δικαστικοποίησης</w:t>
      </w:r>
      <w:proofErr w:type="spellEnd"/>
      <w:r w:rsidRPr="00682806">
        <w:rPr>
          <w:rFonts w:asciiTheme="minorHAnsi" w:hAnsiTheme="minorHAnsi"/>
          <w:sz w:val="20"/>
          <w:szCs w:val="20"/>
        </w:rPr>
        <w:t xml:space="preserve"> θεμάτων περιβάλλοντος και εν γένει περιβαλλοντικού σχεδιασμού</w:t>
      </w:r>
      <w:r w:rsidRPr="00682806">
        <w:rPr>
          <w:rFonts w:asciiTheme="minorHAnsi" w:hAnsiTheme="minorHAnsi"/>
          <w:sz w:val="20"/>
          <w:szCs w:val="20"/>
        </w:rPr>
        <w:br/>
        <w:t>9. Η νομολογία ως παράγων διάπλασης και εξέλιξης του δικαίου του περιβάλλοντος</w:t>
      </w:r>
    </w:p>
    <w:p w:rsidR="00037F16" w:rsidRDefault="00037F16" w:rsidP="00037F16">
      <w:pPr>
        <w:pStyle w:val="Web"/>
        <w:spacing w:before="0" w:beforeAutospacing="0" w:after="0" w:afterAutospacing="0"/>
        <w:jc w:val="both"/>
        <w:rPr>
          <w:rFonts w:asciiTheme="minorHAnsi" w:hAnsiTheme="minorHAnsi"/>
          <w:sz w:val="20"/>
          <w:szCs w:val="20"/>
        </w:rPr>
      </w:pPr>
      <w:r>
        <w:rPr>
          <w:rFonts w:asciiTheme="minorHAnsi" w:hAnsiTheme="minorHAnsi"/>
          <w:sz w:val="20"/>
          <w:szCs w:val="20"/>
        </w:rPr>
        <w:t>10.  Αρχές Δικαίου του Περιβάλλοντος</w:t>
      </w:r>
    </w:p>
    <w:p w:rsidR="00037F16" w:rsidRPr="00682806" w:rsidRDefault="00037F16" w:rsidP="00037F16">
      <w:pPr>
        <w:pStyle w:val="Web"/>
        <w:spacing w:before="0" w:beforeAutospacing="0" w:after="0" w:afterAutospacing="0"/>
        <w:jc w:val="both"/>
        <w:rPr>
          <w:rFonts w:asciiTheme="minorHAnsi" w:hAnsiTheme="minorHAnsi"/>
          <w:sz w:val="20"/>
          <w:szCs w:val="20"/>
        </w:rPr>
      </w:pPr>
      <w:r w:rsidRPr="00682806">
        <w:rPr>
          <w:rFonts w:asciiTheme="minorHAnsi" w:hAnsiTheme="minorHAnsi"/>
          <w:sz w:val="20"/>
          <w:szCs w:val="20"/>
        </w:rPr>
        <w:t>10. Νομοθετική πολιτική σε θέματα περιβάλλοντος</w:t>
      </w:r>
      <w:bookmarkStart w:id="0" w:name="_GoBack"/>
      <w:bookmarkEnd w:id="0"/>
    </w:p>
    <w:p w:rsidR="00037F16" w:rsidRDefault="00037F16" w:rsidP="00037F16">
      <w:pPr>
        <w:pStyle w:val="Web"/>
        <w:spacing w:before="0" w:beforeAutospacing="0" w:after="0" w:afterAutospacing="0"/>
        <w:jc w:val="both"/>
        <w:rPr>
          <w:rFonts w:asciiTheme="minorHAnsi" w:hAnsiTheme="minorHAnsi"/>
          <w:sz w:val="20"/>
          <w:szCs w:val="20"/>
        </w:rPr>
      </w:pPr>
    </w:p>
    <w:p w:rsidR="00037F16" w:rsidRPr="00037F16" w:rsidRDefault="00037F16" w:rsidP="00037F16">
      <w:pPr>
        <w:pStyle w:val="Web"/>
        <w:spacing w:before="0" w:beforeAutospacing="0" w:after="0" w:afterAutospacing="0"/>
        <w:jc w:val="both"/>
        <w:rPr>
          <w:rFonts w:asciiTheme="minorHAnsi" w:hAnsiTheme="minorHAnsi"/>
          <w:b/>
          <w:sz w:val="20"/>
          <w:szCs w:val="20"/>
        </w:rPr>
      </w:pPr>
      <w:r w:rsidRPr="00037F16">
        <w:rPr>
          <w:rFonts w:asciiTheme="minorHAnsi" w:hAnsiTheme="minorHAnsi"/>
          <w:b/>
          <w:sz w:val="20"/>
          <w:szCs w:val="20"/>
        </w:rPr>
        <w:t>[Διευκρινίζεται ότι η ύλη του μαθήματος "Δίκαιο Πολεοδομίας - Χωροταξίας και Περιβάλλοντος Ι" καλύπτει μόνο την χωροταξική - πολεοδομική όψη και όχι την περιβαλλοντική].</w:t>
      </w:r>
    </w:p>
    <w:p w:rsidR="00037F16" w:rsidRDefault="00037F16" w:rsidP="00037F16">
      <w:pPr>
        <w:jc w:val="both"/>
        <w:rPr>
          <w:rFonts w:asciiTheme="minorHAnsi" w:hAnsiTheme="minorHAnsi"/>
          <w:sz w:val="20"/>
          <w:szCs w:val="20"/>
          <w:lang w:val="el-GR"/>
        </w:rPr>
      </w:pPr>
    </w:p>
    <w:p w:rsidR="007D6526" w:rsidRPr="00037F16" w:rsidRDefault="00037F16" w:rsidP="00037F16">
      <w:pPr>
        <w:jc w:val="both"/>
        <w:rPr>
          <w:lang w:val="el-GR"/>
        </w:rPr>
      </w:pPr>
      <w:r w:rsidRPr="00037F16">
        <w:rPr>
          <w:rFonts w:asciiTheme="minorHAnsi" w:hAnsiTheme="minorHAnsi"/>
          <w:sz w:val="20"/>
          <w:szCs w:val="20"/>
          <w:lang w:val="el-GR"/>
        </w:rPr>
        <w:t>Το μάθημα απευθύνεται στους φοιτητές του 7ου και 9ου εξαμήνου, οι οποίοι όντας αρκετά ή και πολύ εξοικειωμένοι με τον χωρικό και περιβαλλοντικό σχεδιασμό, τους παρέχεται η δυνατότητα να αποκτήσουν με χειροπιαστό και απτό τρόπο, μέσα από την εξέταση συγκεκριμένων χωροταξικών, πολεοδομικών και περιβαλλοντικών νομικών κειμένων μια σαφή άποψη και εικόνα για τη σημασία και το ρόλο της νομοθεσίας στα ζητήματα του χωρικού και περιβαλλοντικού σχεδιασμού.</w:t>
      </w:r>
    </w:p>
    <w:sectPr w:rsidR="007D6526" w:rsidRPr="00037F1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Calibri Light">
    <w:panose1 w:val="020F0302020204030204"/>
    <w:charset w:val="A1"/>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7F16"/>
    <w:rsid w:val="00037F16"/>
    <w:rsid w:val="007D652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AE8952-93BC-478B-B52D-C2986E2F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7F16"/>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037F16"/>
    <w:pPr>
      <w:spacing w:before="100" w:beforeAutospacing="1" w:after="100" w:afterAutospacing="1"/>
    </w:pPr>
    <w:rPr>
      <w:lang w:val="el-GR" w:eastAsia="el-GR"/>
    </w:rPr>
  </w:style>
  <w:style w:type="character" w:styleId="a3">
    <w:name w:val="Strong"/>
    <w:uiPriority w:val="22"/>
    <w:qFormat/>
    <w:rsid w:val="00037F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382</Words>
  <Characters>2069</Characters>
  <Application>Microsoft Office Word</Application>
  <DocSecurity>0</DocSecurity>
  <Lines>17</Lines>
  <Paragraphs>4</Paragraphs>
  <ScaleCrop>false</ScaleCrop>
  <Company/>
  <LinksUpToDate>false</LinksUpToDate>
  <CharactersWithSpaces>2447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2018-10-01T09:04:00Z</dcterms:created>
  <dcterms:modified xsi:type="dcterms:W3CDTF">2018-10-01T09:06:00Z</dcterms:modified>
</cp:coreProperties>
</file>