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8A" w:rsidRDefault="00FC068A" w:rsidP="00FC068A">
      <w:pPr>
        <w:pStyle w:val="Pa12"/>
        <w:spacing w:after="100"/>
        <w:jc w:val="both"/>
        <w:rPr>
          <w:sz w:val="44"/>
          <w:szCs w:val="44"/>
          <w:lang w:val="fr-FR"/>
        </w:rPr>
      </w:pPr>
      <w:r>
        <w:rPr>
          <w:noProof/>
          <w:sz w:val="44"/>
          <w:szCs w:val="44"/>
          <w:lang w:eastAsia="el-GR"/>
        </w:rPr>
        <w:pict>
          <v:rect id="_x0000_s1026" style="position:absolute;left:0;text-align:left;margin-left:9.2pt;margin-top:3.9pt;width:514.5pt;height:81.75pt;z-index:-251658240" strokecolor="#330" strokeweight="3pt">
            <v:stroke linestyle="thinThin"/>
            <v:textbox>
              <w:txbxContent>
                <w:p w:rsidR="00FC068A" w:rsidRPr="00280FBC" w:rsidRDefault="00FC068A" w:rsidP="007B52D4">
                  <w:pPr>
                    <w:pStyle w:val="a4"/>
                    <w:ind w:right="303"/>
                    <w:jc w:val="center"/>
                    <w:rPr>
                      <w:b/>
                      <w:sz w:val="24"/>
                      <w:szCs w:val="24"/>
                      <w:lang w:val="fr-FR"/>
                    </w:rPr>
                  </w:pPr>
                  <w:r w:rsidRPr="00280FBC">
                    <w:rPr>
                      <w:b/>
                      <w:sz w:val="24"/>
                      <w:szCs w:val="24"/>
                      <w:lang w:val="fr-FR"/>
                    </w:rPr>
                    <w:t>UNIVERSITÉ DE THESSALIE</w:t>
                  </w:r>
                </w:p>
                <w:p w:rsidR="00FC068A" w:rsidRPr="00280FBC" w:rsidRDefault="00FC068A" w:rsidP="007B52D4">
                  <w:pPr>
                    <w:pStyle w:val="a4"/>
                    <w:ind w:right="303"/>
                    <w:jc w:val="center"/>
                    <w:rPr>
                      <w:b/>
                      <w:sz w:val="24"/>
                      <w:szCs w:val="24"/>
                      <w:lang w:val="fr-FR"/>
                    </w:rPr>
                  </w:pPr>
                  <w:r w:rsidRPr="00280FBC">
                    <w:rPr>
                      <w:b/>
                      <w:sz w:val="24"/>
                      <w:szCs w:val="24"/>
                      <w:lang w:val="fr-FR"/>
                    </w:rPr>
                    <w:t xml:space="preserve">      CENTRE DE LANGUES ÉTRANGÈRES- SECTION DE LANGUE FRANÇAISE</w:t>
                  </w:r>
                </w:p>
                <w:p w:rsidR="00FC068A" w:rsidRDefault="00FC068A" w:rsidP="007B52D4">
                  <w:pPr>
                    <w:pStyle w:val="a4"/>
                    <w:ind w:right="303"/>
                    <w:jc w:val="center"/>
                    <w:rPr>
                      <w:b/>
                      <w:sz w:val="24"/>
                      <w:szCs w:val="24"/>
                      <w:lang w:val="fr-FR"/>
                    </w:rPr>
                  </w:pPr>
                  <w:r>
                    <w:rPr>
                      <w:b/>
                      <w:sz w:val="24"/>
                      <w:szCs w:val="24"/>
                      <w:lang w:val="fr-FR"/>
                    </w:rPr>
                    <w:t xml:space="preserve">ECOLE POLYTECHNIQUE. </w:t>
                  </w:r>
                  <w:r w:rsidRPr="005C1BDF">
                    <w:rPr>
                      <w:b/>
                      <w:sz w:val="24"/>
                      <w:szCs w:val="24"/>
                      <w:lang w:val="fr-FR"/>
                    </w:rPr>
                    <w:t>BATIMENT D’</w:t>
                  </w:r>
                  <w:r>
                    <w:rPr>
                      <w:b/>
                      <w:sz w:val="24"/>
                      <w:szCs w:val="24"/>
                      <w:lang w:val="fr-FR"/>
                    </w:rPr>
                    <w:t>AMENAGEMENT DU TERRITOIRE ET D’URBANISME</w:t>
                  </w:r>
                </w:p>
                <w:p w:rsidR="00FC068A" w:rsidRPr="005C1BDF" w:rsidRDefault="00FC068A" w:rsidP="007B52D4">
                  <w:pPr>
                    <w:pStyle w:val="a4"/>
                    <w:ind w:right="303"/>
                    <w:jc w:val="center"/>
                    <w:rPr>
                      <w:sz w:val="24"/>
                      <w:szCs w:val="24"/>
                      <w:lang w:val="fr-FR"/>
                    </w:rPr>
                  </w:pPr>
                  <w:r>
                    <w:rPr>
                      <w:b/>
                      <w:sz w:val="24"/>
                      <w:szCs w:val="24"/>
                      <w:lang w:val="fr-FR"/>
                    </w:rPr>
                    <w:t xml:space="preserve"> </w:t>
                  </w:r>
                  <w:r>
                    <w:rPr>
                      <w:sz w:val="24"/>
                      <w:szCs w:val="24"/>
                      <w:lang w:val="fr-FR"/>
                    </w:rPr>
                    <w:t>(2</w:t>
                  </w:r>
                  <w:r>
                    <w:rPr>
                      <w:sz w:val="24"/>
                      <w:szCs w:val="24"/>
                      <w:vertAlign w:val="superscript"/>
                      <w:lang w:val="fr-FR"/>
                    </w:rPr>
                    <w:t>e</w:t>
                  </w:r>
                  <w:r w:rsidRPr="001940FB">
                    <w:rPr>
                      <w:sz w:val="24"/>
                      <w:szCs w:val="24"/>
                      <w:lang w:val="fr-FR"/>
                    </w:rPr>
                    <w:t xml:space="preserve"> é</w:t>
                  </w:r>
                  <w:r w:rsidRPr="00156A5D">
                    <w:rPr>
                      <w:sz w:val="24"/>
                      <w:szCs w:val="24"/>
                      <w:lang w:val="fr-FR"/>
                    </w:rPr>
                    <w:t>tage</w:t>
                  </w:r>
                  <w:r w:rsidRPr="001940FB">
                    <w:rPr>
                      <w:sz w:val="24"/>
                      <w:szCs w:val="24"/>
                      <w:lang w:val="fr-FR"/>
                    </w:rPr>
                    <w:t>)</w:t>
                  </w:r>
                  <w:r>
                    <w:rPr>
                      <w:sz w:val="24"/>
                      <w:szCs w:val="24"/>
                      <w:lang w:val="fr-FR"/>
                    </w:rPr>
                    <w:t xml:space="preserve"> Bureau </w:t>
                  </w:r>
                  <w:r>
                    <w:rPr>
                      <w:sz w:val="24"/>
                      <w:szCs w:val="24"/>
                    </w:rPr>
                    <w:t>Γ</w:t>
                  </w:r>
                  <w:r w:rsidRPr="005C1BDF">
                    <w:rPr>
                      <w:sz w:val="24"/>
                      <w:szCs w:val="24"/>
                      <w:lang w:val="fr-FR"/>
                    </w:rPr>
                    <w:t>20, tél. 24210-74461</w:t>
                  </w:r>
                </w:p>
                <w:p w:rsidR="00FC068A" w:rsidRPr="00280FBC" w:rsidRDefault="00FC068A" w:rsidP="007B52D4">
                  <w:pPr>
                    <w:pStyle w:val="a4"/>
                    <w:spacing w:line="360" w:lineRule="auto"/>
                    <w:ind w:right="303"/>
                    <w:rPr>
                      <w:lang w:val="fr-FR"/>
                    </w:rPr>
                  </w:pPr>
                  <w:r w:rsidRPr="00280FBC">
                    <w:rPr>
                      <w:lang w:val="fr-FR"/>
                    </w:rPr>
                    <w:t>Enseignante: Eftychia Damaskou</w:t>
                  </w:r>
                  <w:r>
                    <w:rPr>
                      <w:lang w:val="fr-FR"/>
                    </w:rPr>
                    <w:t xml:space="preserve">, </w:t>
                  </w:r>
                  <w:hyperlink r:id="rId4" w:history="1">
                    <w:r w:rsidRPr="001F149C">
                      <w:rPr>
                        <w:rStyle w:val="-"/>
                        <w:lang w:val="fr-FR"/>
                      </w:rPr>
                      <w:t>e_damaskou@yahoo.gr</w:t>
                    </w:r>
                  </w:hyperlink>
                  <w:r>
                    <w:rPr>
                      <w:lang w:val="fr-FR"/>
                    </w:rPr>
                    <w:t xml:space="preserve"> </w:t>
                  </w:r>
                </w:p>
              </w:txbxContent>
            </v:textbox>
          </v:rect>
        </w:pict>
      </w:r>
    </w:p>
    <w:p w:rsidR="007B52D4" w:rsidRDefault="007B52D4" w:rsidP="00FC068A">
      <w:pPr>
        <w:pStyle w:val="Pa12"/>
        <w:spacing w:after="100"/>
        <w:jc w:val="both"/>
        <w:rPr>
          <w:sz w:val="44"/>
          <w:szCs w:val="44"/>
          <w:lang w:val="fr-FR"/>
        </w:rPr>
      </w:pPr>
    </w:p>
    <w:p w:rsidR="007B52D4" w:rsidRDefault="007B52D4" w:rsidP="00FC068A">
      <w:pPr>
        <w:pStyle w:val="Pa12"/>
        <w:spacing w:after="100"/>
        <w:jc w:val="both"/>
        <w:rPr>
          <w:sz w:val="44"/>
          <w:szCs w:val="44"/>
          <w:lang w:val="fr-FR"/>
        </w:rPr>
      </w:pPr>
    </w:p>
    <w:p w:rsidR="007B52D4" w:rsidRPr="008F33FE" w:rsidRDefault="00FC068A" w:rsidP="00EC08F4">
      <w:pPr>
        <w:pStyle w:val="Pa12"/>
        <w:spacing w:after="100"/>
        <w:jc w:val="both"/>
        <w:rPr>
          <w:rFonts w:asciiTheme="minorHAnsi" w:hAnsiTheme="minorHAnsi"/>
          <w:b/>
          <w:sz w:val="22"/>
          <w:szCs w:val="22"/>
          <w:u w:val="single"/>
          <w:lang w:val="fr-FR"/>
        </w:rPr>
      </w:pPr>
      <w:r w:rsidRPr="008F33FE">
        <w:rPr>
          <w:rFonts w:asciiTheme="minorHAnsi" w:hAnsiTheme="minorHAnsi"/>
          <w:b/>
          <w:sz w:val="22"/>
          <w:szCs w:val="22"/>
          <w:u w:val="single"/>
          <w:lang w:val="fr-FR"/>
        </w:rPr>
        <w:t>Présentation de l’</w:t>
      </w:r>
      <w:r w:rsidR="008F33FE" w:rsidRPr="008F33FE">
        <w:rPr>
          <w:rFonts w:asciiTheme="minorHAnsi" w:hAnsiTheme="minorHAnsi"/>
          <w:b/>
          <w:sz w:val="22"/>
          <w:szCs w:val="22"/>
          <w:u w:val="single"/>
          <w:lang w:val="fr-FR"/>
        </w:rPr>
        <w:t>Université</w:t>
      </w:r>
      <w:r w:rsidR="007B52D4" w:rsidRPr="008F33FE">
        <w:rPr>
          <w:rFonts w:asciiTheme="minorHAnsi" w:hAnsiTheme="minorHAnsi"/>
          <w:b/>
          <w:sz w:val="22"/>
          <w:szCs w:val="22"/>
          <w:u w:val="single"/>
          <w:lang w:val="fr-FR"/>
        </w:rPr>
        <w:t xml:space="preserve"> de Technologie de </w:t>
      </w:r>
      <w:r w:rsidR="008F33FE" w:rsidRPr="008F33FE">
        <w:rPr>
          <w:rFonts w:asciiTheme="minorHAnsi" w:hAnsiTheme="minorHAnsi"/>
          <w:b/>
          <w:sz w:val="22"/>
          <w:szCs w:val="22"/>
          <w:u w:val="single"/>
          <w:lang w:val="fr-FR"/>
        </w:rPr>
        <w:t>Compiègne</w:t>
      </w:r>
    </w:p>
    <w:p w:rsidR="00FC068A" w:rsidRPr="00EC08F4" w:rsidRDefault="008F33FE" w:rsidP="00EC08F4">
      <w:pPr>
        <w:pStyle w:val="Pa12"/>
        <w:spacing w:after="100"/>
        <w:jc w:val="both"/>
        <w:rPr>
          <w:rFonts w:asciiTheme="minorHAnsi" w:hAnsiTheme="minorHAnsi"/>
          <w:b/>
          <w:bCs/>
          <w:sz w:val="22"/>
          <w:szCs w:val="22"/>
          <w:lang w:val="fr-FR"/>
        </w:rPr>
      </w:pPr>
      <w:r>
        <w:rPr>
          <w:rFonts w:asciiTheme="minorHAnsi" w:hAnsiTheme="minorHAnsi"/>
          <w:sz w:val="22"/>
          <w:szCs w:val="22"/>
          <w:lang w:val="fr-FR"/>
        </w:rPr>
        <w:t xml:space="preserve">Source : </w:t>
      </w:r>
      <w:r w:rsidR="00FC068A" w:rsidRPr="00EC08F4">
        <w:rPr>
          <w:rFonts w:asciiTheme="minorHAnsi" w:hAnsiTheme="minorHAnsi"/>
          <w:sz w:val="22"/>
          <w:szCs w:val="22"/>
          <w:lang w:val="fr-FR"/>
        </w:rPr>
        <w:t>Guide de l’étudiant Ingénieur - Master - Doctorant IUTC</w:t>
      </w:r>
      <w:r w:rsidR="00FC068A" w:rsidRPr="00EC08F4">
        <w:rPr>
          <w:rFonts w:asciiTheme="minorHAnsi" w:hAnsiTheme="minorHAnsi"/>
          <w:b/>
          <w:bCs/>
          <w:sz w:val="22"/>
          <w:szCs w:val="22"/>
          <w:lang w:val="fr-FR"/>
        </w:rPr>
        <w:t>1</w:t>
      </w:r>
    </w:p>
    <w:p w:rsidR="00FC068A" w:rsidRPr="008F33FE" w:rsidRDefault="00FC068A" w:rsidP="00EC08F4">
      <w:pPr>
        <w:pStyle w:val="a4"/>
        <w:jc w:val="both"/>
        <w:rPr>
          <w:b/>
          <w:lang w:val="fr-FR"/>
        </w:rPr>
      </w:pPr>
      <w:r w:rsidRPr="008F33FE">
        <w:rPr>
          <w:b/>
          <w:lang w:val="fr-FR"/>
        </w:rPr>
        <w:t xml:space="preserve">La formation d’ingénieur </w:t>
      </w:r>
    </w:p>
    <w:p w:rsidR="00FC068A" w:rsidRPr="00EC08F4" w:rsidRDefault="00FC068A" w:rsidP="00EC08F4">
      <w:pPr>
        <w:pStyle w:val="a4"/>
        <w:jc w:val="both"/>
        <w:rPr>
          <w:lang w:val="fr-FR"/>
        </w:rPr>
      </w:pPr>
      <w:r w:rsidRPr="00EC08F4">
        <w:rPr>
          <w:rStyle w:val="A00"/>
          <w:sz w:val="22"/>
          <w:szCs w:val="22"/>
          <w:lang w:val="fr-FR"/>
        </w:rPr>
        <w:t xml:space="preserve">L'UTC forme des ingénieurs généralistes présentant des capacités d’autonomie, d’initiative, de prise de responsabilité et de travail en équipes au sein de projets complexes, dans un environnement international. </w:t>
      </w:r>
    </w:p>
    <w:p w:rsidR="00FC068A" w:rsidRPr="008F33FE" w:rsidRDefault="00FC068A" w:rsidP="00EC08F4">
      <w:pPr>
        <w:pStyle w:val="a4"/>
        <w:jc w:val="both"/>
        <w:rPr>
          <w:b/>
          <w:lang w:val="fr-FR"/>
        </w:rPr>
      </w:pPr>
      <w:r w:rsidRPr="008F33FE">
        <w:rPr>
          <w:b/>
          <w:lang w:val="fr-FR"/>
        </w:rPr>
        <w:t xml:space="preserve">La formation de master </w:t>
      </w:r>
    </w:p>
    <w:p w:rsidR="00FC068A" w:rsidRPr="00EC08F4" w:rsidRDefault="00FC068A" w:rsidP="00EC08F4">
      <w:pPr>
        <w:pStyle w:val="a4"/>
        <w:jc w:val="both"/>
        <w:rPr>
          <w:lang w:val="fr-FR"/>
        </w:rPr>
      </w:pPr>
      <w:r w:rsidRPr="00EC08F4">
        <w:rPr>
          <w:rStyle w:val="A00"/>
          <w:sz w:val="22"/>
          <w:szCs w:val="22"/>
          <w:lang w:val="fr-FR"/>
        </w:rPr>
        <w:t xml:space="preserve">En suivant un master à l'UTC, vous aborderez avec des enseignants-chercheurs de renommée internationale les problèmes scientifiques majeurs qui retentissent sur notre vie quotidienne. Les 4 mentions et 12 spécialités du master vous préparent à devenir les experts et relever les défis de la recherche et de l’industrie de pointe dans les domaines de l'automatique, la biologie, la biotechnologie, la chimie, le design, l’informatique, l’innovation, la mécanique, la mécatronique, la robotique, la santé, les services et les systèmes. </w:t>
      </w:r>
    </w:p>
    <w:p w:rsidR="00FC068A" w:rsidRPr="008F33FE" w:rsidRDefault="00FC068A" w:rsidP="00EC08F4">
      <w:pPr>
        <w:pStyle w:val="a4"/>
        <w:jc w:val="both"/>
        <w:rPr>
          <w:b/>
          <w:lang w:val="fr-FR"/>
        </w:rPr>
      </w:pPr>
      <w:r w:rsidRPr="008F33FE">
        <w:rPr>
          <w:b/>
          <w:lang w:val="fr-FR"/>
        </w:rPr>
        <w:t xml:space="preserve">La formation de l’école doctorale </w:t>
      </w:r>
    </w:p>
    <w:p w:rsidR="0001257B" w:rsidRPr="008F33FE" w:rsidRDefault="00FC068A" w:rsidP="00EC08F4">
      <w:pPr>
        <w:pStyle w:val="a4"/>
        <w:jc w:val="both"/>
        <w:rPr>
          <w:rStyle w:val="A00"/>
          <w:rFonts w:cstheme="minorBidi"/>
          <w:color w:val="auto"/>
          <w:sz w:val="22"/>
          <w:szCs w:val="22"/>
          <w:lang w:val="fr-FR"/>
        </w:rPr>
      </w:pPr>
      <w:r w:rsidRPr="00EC08F4">
        <w:rPr>
          <w:rStyle w:val="A00"/>
          <w:sz w:val="22"/>
          <w:szCs w:val="22"/>
          <w:lang w:val="fr-FR"/>
        </w:rPr>
        <w:t>Au sein des unités de recherche, des entreprises ou encore des collectivités territoriales, l’école doctorale forme et accompagne les doctorants devant acquérir une excellence scientifique, technologique et préparer leurs projets professionnels notamment leurs dimensions interdisciplinaires et internationales. La formation de l’école doctorale insiste sur les compétences réflexives nécessaires aux missions stratégiques et exploratoires, sur la capacité à valoriser les compétences acquises pour être un interlocuteur lucide et éclairé sur ses projets, et sur l’ouverture et le bien être pour être un acteur enthousiaste et efficient dans le cadre des projets collaboratifs nécessaires au développement scientifique et à l’innovation.</w:t>
      </w:r>
    </w:p>
    <w:p w:rsidR="00EC08F4" w:rsidRPr="008F33FE" w:rsidRDefault="00EC08F4" w:rsidP="00EC08F4">
      <w:pPr>
        <w:pStyle w:val="a4"/>
        <w:rPr>
          <w:rStyle w:val="A12"/>
          <w:lang w:val="fr-FR"/>
        </w:rPr>
      </w:pPr>
    </w:p>
    <w:p w:rsidR="00EC08F4" w:rsidRDefault="008F33FE" w:rsidP="00FC068A">
      <w:pPr>
        <w:rPr>
          <w:lang w:val="en-US"/>
        </w:rPr>
      </w:pPr>
      <w:r>
        <w:rPr>
          <w:noProof/>
          <w:lang w:eastAsia="el-GR"/>
        </w:rPr>
        <w:drawing>
          <wp:inline distT="0" distB="0" distL="0" distR="0">
            <wp:extent cx="6661135" cy="4924425"/>
            <wp:effectExtent l="19050" t="0" r="636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661150" cy="4924436"/>
                    </a:xfrm>
                    <a:prstGeom prst="rect">
                      <a:avLst/>
                    </a:prstGeom>
                    <a:noFill/>
                    <a:ln w="9525">
                      <a:noFill/>
                      <a:miter lim="800000"/>
                      <a:headEnd/>
                      <a:tailEnd/>
                    </a:ln>
                  </pic:spPr>
                </pic:pic>
              </a:graphicData>
            </a:graphic>
          </wp:inline>
        </w:drawing>
      </w:r>
    </w:p>
    <w:p w:rsidR="008F33FE" w:rsidRPr="008F33FE" w:rsidRDefault="008F33FE" w:rsidP="008F33FE">
      <w:pPr>
        <w:pStyle w:val="Pa9"/>
        <w:jc w:val="both"/>
        <w:rPr>
          <w:rFonts w:cs="DIN"/>
          <w:color w:val="000000"/>
          <w:sz w:val="18"/>
          <w:szCs w:val="18"/>
          <w:lang w:val="fr-FR"/>
        </w:rPr>
      </w:pPr>
      <w:r w:rsidRPr="008F33FE">
        <w:rPr>
          <w:rStyle w:val="A00"/>
          <w:lang w:val="fr-FR"/>
        </w:rPr>
        <w:lastRenderedPageBreak/>
        <w:t xml:space="preserve">Pour atteindre ses objectifs de formation, l’UTC dispose d’une structure pédagogique flexible lui permettant d’adapter constamment ses formations aux besoins nouveaux des entreprises et de la société. Les 5 années d’enseignement sont divisées en 10 semestres de 16 semaines chacun. Les études sont conçues de façon arborescente : le premier cycle (tronc commun) puis le cycle ingénieur (branche). </w:t>
      </w:r>
      <w:r>
        <w:rPr>
          <w:rFonts w:cs="DIN"/>
          <w:color w:val="000000"/>
          <w:sz w:val="18"/>
          <w:szCs w:val="18"/>
          <w:lang w:val="fr-FR"/>
        </w:rPr>
        <w:t xml:space="preserve"> </w:t>
      </w:r>
      <w:r w:rsidRPr="008F33FE">
        <w:rPr>
          <w:rStyle w:val="A00"/>
          <w:lang w:val="fr-FR"/>
        </w:rPr>
        <w:t xml:space="preserve">Au cours de chaque semestre, vous avez le choix entre un nombre d’Unités de Valeur d’enseignement (UV) correspondant à votre niveau et à votre profil d’études (au maximum 7 UV par semestre). </w:t>
      </w:r>
    </w:p>
    <w:p w:rsidR="008F33FE" w:rsidRPr="008F33FE" w:rsidRDefault="008F33FE" w:rsidP="008F33FE">
      <w:pPr>
        <w:pStyle w:val="Pa9"/>
        <w:jc w:val="both"/>
        <w:rPr>
          <w:rFonts w:cs="DIN"/>
          <w:color w:val="000000"/>
          <w:sz w:val="18"/>
          <w:szCs w:val="18"/>
          <w:lang w:val="fr-FR"/>
        </w:rPr>
      </w:pPr>
      <w:r w:rsidRPr="008F33FE">
        <w:rPr>
          <w:rStyle w:val="A00"/>
          <w:lang w:val="fr-FR"/>
        </w:rPr>
        <w:t xml:space="preserve">Les UV sont regroupées en catégories : </w:t>
      </w:r>
    </w:p>
    <w:p w:rsidR="008F33FE" w:rsidRPr="008F33FE" w:rsidRDefault="008F33FE" w:rsidP="008F33FE">
      <w:pPr>
        <w:pStyle w:val="Pa9"/>
        <w:jc w:val="both"/>
        <w:rPr>
          <w:rFonts w:cs="DIN"/>
          <w:color w:val="000000"/>
          <w:sz w:val="18"/>
          <w:szCs w:val="18"/>
          <w:lang w:val="fr-FR"/>
        </w:rPr>
      </w:pPr>
      <w:r w:rsidRPr="008F33FE">
        <w:rPr>
          <w:rStyle w:val="A00"/>
          <w:lang w:val="fr-FR"/>
        </w:rPr>
        <w:t xml:space="preserve">• Connaissances scientifiques (CS) </w:t>
      </w:r>
    </w:p>
    <w:p w:rsidR="008F33FE" w:rsidRPr="008F33FE" w:rsidRDefault="008F33FE" w:rsidP="008F33FE">
      <w:pPr>
        <w:pStyle w:val="Pa9"/>
        <w:jc w:val="both"/>
        <w:rPr>
          <w:rFonts w:cs="DIN"/>
          <w:color w:val="000000"/>
          <w:sz w:val="18"/>
          <w:szCs w:val="18"/>
          <w:lang w:val="fr-FR"/>
        </w:rPr>
      </w:pPr>
      <w:r w:rsidRPr="008F33FE">
        <w:rPr>
          <w:rStyle w:val="A00"/>
          <w:lang w:val="fr-FR"/>
        </w:rPr>
        <w:t xml:space="preserve">• Techniques et méthodes (TM) </w:t>
      </w:r>
    </w:p>
    <w:p w:rsidR="008F33FE" w:rsidRPr="008F33FE" w:rsidRDefault="008F33FE" w:rsidP="008F33FE">
      <w:pPr>
        <w:pStyle w:val="Pa9"/>
        <w:jc w:val="both"/>
        <w:rPr>
          <w:rFonts w:cs="DIN"/>
          <w:color w:val="000000"/>
          <w:sz w:val="18"/>
          <w:szCs w:val="18"/>
          <w:lang w:val="fr-FR"/>
        </w:rPr>
      </w:pPr>
      <w:r w:rsidRPr="008F33FE">
        <w:rPr>
          <w:rStyle w:val="A00"/>
          <w:lang w:val="fr-FR"/>
        </w:rPr>
        <w:t xml:space="preserve">• Technologie et sciences de l’homme (TSH) </w:t>
      </w:r>
    </w:p>
    <w:p w:rsidR="008F33FE" w:rsidRPr="008F33FE" w:rsidRDefault="008F33FE" w:rsidP="008F33FE">
      <w:pPr>
        <w:pStyle w:val="Pa12"/>
        <w:spacing w:after="100"/>
        <w:jc w:val="both"/>
        <w:rPr>
          <w:rFonts w:cs="DIN"/>
          <w:color w:val="000000"/>
          <w:sz w:val="18"/>
          <w:szCs w:val="18"/>
          <w:lang w:val="fr-FR"/>
        </w:rPr>
      </w:pPr>
      <w:r w:rsidRPr="008F33FE">
        <w:rPr>
          <w:rStyle w:val="A00"/>
          <w:lang w:val="fr-FR"/>
        </w:rPr>
        <w:t xml:space="preserve">• Projets et périodes de travail à l’extérieur </w:t>
      </w:r>
    </w:p>
    <w:p w:rsidR="008F33FE" w:rsidRPr="008F33FE" w:rsidRDefault="008F33FE" w:rsidP="008F33FE">
      <w:pPr>
        <w:pStyle w:val="Pa12"/>
        <w:spacing w:after="100"/>
        <w:jc w:val="both"/>
        <w:rPr>
          <w:rFonts w:cs="DIN"/>
          <w:color w:val="000000"/>
          <w:sz w:val="18"/>
          <w:szCs w:val="18"/>
          <w:lang w:val="fr-FR"/>
        </w:rPr>
      </w:pPr>
      <w:r w:rsidRPr="008F33FE">
        <w:rPr>
          <w:rStyle w:val="A00"/>
          <w:lang w:val="fr-FR"/>
        </w:rPr>
        <w:t xml:space="preserve">Pour obtenir votre diplôme vous devez acquérir un nombre minimum de crédits dans chacune de ces catégories. </w:t>
      </w:r>
    </w:p>
    <w:p w:rsidR="008F33FE" w:rsidRDefault="008F33FE" w:rsidP="008F33FE">
      <w:pPr>
        <w:pStyle w:val="Pa9"/>
        <w:jc w:val="both"/>
        <w:rPr>
          <w:rStyle w:val="A00"/>
          <w:lang w:val="fr-FR"/>
        </w:rPr>
      </w:pPr>
      <w:r w:rsidRPr="008F33FE">
        <w:rPr>
          <w:rStyle w:val="A00"/>
          <w:lang w:val="fr-FR"/>
        </w:rPr>
        <w:t xml:space="preserve">Le diplôme d’ingénieur confère le grade de master. </w:t>
      </w:r>
    </w:p>
    <w:p w:rsidR="008F33FE" w:rsidRPr="008F33FE" w:rsidRDefault="008F33FE" w:rsidP="008F33FE">
      <w:pPr>
        <w:pStyle w:val="Pa9"/>
        <w:jc w:val="both"/>
        <w:rPr>
          <w:rFonts w:cs="DIN"/>
          <w:color w:val="000000"/>
          <w:lang w:val="fr-FR"/>
        </w:rPr>
      </w:pPr>
      <w:r w:rsidRPr="008F33FE">
        <w:rPr>
          <w:rFonts w:cs="DIN"/>
          <w:color w:val="000000"/>
          <w:lang w:val="fr-FR"/>
        </w:rPr>
        <w:t>O</w:t>
      </w:r>
      <w:r w:rsidRPr="008F33FE">
        <w:rPr>
          <w:rFonts w:cs="DIN"/>
          <w:color w:val="000000"/>
          <w:sz w:val="25"/>
          <w:lang w:val="fr-FR"/>
        </w:rPr>
        <w:t>rganisation des études d</w:t>
      </w:r>
      <w:r w:rsidRPr="008F33FE">
        <w:rPr>
          <w:rFonts w:cs="DIN"/>
          <w:color w:val="000000"/>
          <w:sz w:val="36"/>
          <w:lang w:val="fr-FR"/>
        </w:rPr>
        <w:t>’</w:t>
      </w:r>
      <w:r w:rsidRPr="008F33FE">
        <w:rPr>
          <w:rFonts w:cs="DIN"/>
          <w:color w:val="000000"/>
          <w:sz w:val="25"/>
          <w:lang w:val="fr-FR"/>
        </w:rPr>
        <w:t xml:space="preserve">ingénieur </w:t>
      </w:r>
    </w:p>
    <w:p w:rsidR="008F33FE" w:rsidRPr="008F33FE" w:rsidRDefault="008F33FE" w:rsidP="008F33FE">
      <w:pPr>
        <w:autoSpaceDE w:val="0"/>
        <w:autoSpaceDN w:val="0"/>
        <w:adjustRightInd w:val="0"/>
        <w:spacing w:after="100" w:line="241" w:lineRule="atLeast"/>
        <w:jc w:val="both"/>
        <w:rPr>
          <w:rFonts w:ascii="DIN" w:hAnsi="DIN" w:cs="DIN"/>
          <w:color w:val="000000"/>
          <w:sz w:val="16"/>
          <w:szCs w:val="16"/>
          <w:lang w:val="fr-FR"/>
        </w:rPr>
      </w:pPr>
      <w:proofErr w:type="spellStart"/>
      <w:r w:rsidRPr="008F33FE">
        <w:rPr>
          <w:rFonts w:ascii="DIN" w:hAnsi="DIN" w:cs="DIN"/>
          <w:color w:val="000000"/>
          <w:sz w:val="24"/>
          <w:szCs w:val="24"/>
          <w:lang w:val="fr-FR"/>
        </w:rPr>
        <w:t>T</w:t>
      </w:r>
      <w:r w:rsidRPr="008F33FE">
        <w:rPr>
          <w:rFonts w:ascii="DIN" w:hAnsi="DIN" w:cs="DIN"/>
          <w:b/>
          <w:bCs/>
          <w:color w:val="000000"/>
          <w:sz w:val="16"/>
          <w:szCs w:val="16"/>
          <w:lang w:val="fr-FR"/>
        </w:rPr>
        <w:t>ron</w:t>
      </w:r>
      <w:r w:rsidRPr="008F33FE">
        <w:rPr>
          <w:rFonts w:ascii="DIN" w:hAnsi="DIN" w:cs="DIN"/>
          <w:color w:val="000000"/>
          <w:sz w:val="16"/>
          <w:szCs w:val="16"/>
          <w:lang w:val="fr-FR"/>
        </w:rPr>
        <w:t>cc</w:t>
      </w:r>
      <w:r w:rsidRPr="008F33FE">
        <w:rPr>
          <w:rFonts w:ascii="DIN" w:hAnsi="DIN" w:cs="DIN"/>
          <w:b/>
          <w:bCs/>
          <w:color w:val="000000"/>
          <w:sz w:val="16"/>
          <w:szCs w:val="16"/>
          <w:lang w:val="fr-FR"/>
        </w:rPr>
        <w:t>omm</w:t>
      </w:r>
      <w:r w:rsidRPr="008F33FE">
        <w:rPr>
          <w:rFonts w:ascii="DIN" w:hAnsi="DIN" w:cs="DIN"/>
          <w:color w:val="000000"/>
          <w:sz w:val="16"/>
          <w:szCs w:val="16"/>
          <w:lang w:val="fr-FR"/>
        </w:rPr>
        <w:t>u</w:t>
      </w:r>
      <w:r w:rsidRPr="008F33FE">
        <w:rPr>
          <w:rFonts w:ascii="DIN" w:hAnsi="DIN" w:cs="DIN"/>
          <w:b/>
          <w:bCs/>
          <w:color w:val="000000"/>
          <w:sz w:val="16"/>
          <w:szCs w:val="16"/>
          <w:lang w:val="fr-FR"/>
        </w:rPr>
        <w:t>n</w:t>
      </w:r>
      <w:proofErr w:type="spellEnd"/>
      <w:r w:rsidRPr="008F33FE">
        <w:rPr>
          <w:rFonts w:ascii="DIN" w:hAnsi="DIN" w:cs="DIN"/>
          <w:b/>
          <w:bCs/>
          <w:color w:val="000000"/>
          <w:sz w:val="16"/>
          <w:szCs w:val="16"/>
          <w:lang w:val="fr-FR"/>
        </w:rPr>
        <w:t xml:space="preserve"> </w:t>
      </w:r>
      <w:r w:rsidRPr="008F33FE">
        <w:rPr>
          <w:rFonts w:ascii="DIN" w:hAnsi="DIN" w:cs="DIN"/>
          <w:b/>
          <w:bCs/>
          <w:color w:val="000000"/>
          <w:sz w:val="23"/>
          <w:szCs w:val="23"/>
          <w:lang w:val="fr-FR"/>
        </w:rPr>
        <w:t xml:space="preserve">- </w:t>
      </w:r>
      <w:r w:rsidRPr="008F33FE">
        <w:rPr>
          <w:rFonts w:ascii="DIN" w:hAnsi="DIN" w:cs="DIN"/>
          <w:color w:val="000000"/>
          <w:sz w:val="23"/>
          <w:szCs w:val="23"/>
          <w:lang w:val="fr-FR"/>
        </w:rPr>
        <w:t>c</w:t>
      </w:r>
      <w:r w:rsidRPr="008F33FE">
        <w:rPr>
          <w:rFonts w:ascii="DIN" w:hAnsi="DIN" w:cs="DIN"/>
          <w:b/>
          <w:bCs/>
          <w:color w:val="000000"/>
          <w:sz w:val="16"/>
          <w:szCs w:val="16"/>
          <w:lang w:val="fr-FR"/>
        </w:rPr>
        <w:t>y</w:t>
      </w:r>
      <w:r w:rsidRPr="008F33FE">
        <w:rPr>
          <w:rFonts w:ascii="DIN" w:hAnsi="DIN" w:cs="DIN"/>
          <w:color w:val="000000"/>
          <w:sz w:val="16"/>
          <w:szCs w:val="16"/>
          <w:lang w:val="fr-FR"/>
        </w:rPr>
        <w:t>c</w:t>
      </w:r>
      <w:r w:rsidRPr="008F33FE">
        <w:rPr>
          <w:rFonts w:ascii="DIN" w:hAnsi="DIN" w:cs="DIN"/>
          <w:b/>
          <w:bCs/>
          <w:color w:val="000000"/>
          <w:sz w:val="16"/>
          <w:szCs w:val="16"/>
          <w:lang w:val="fr-FR"/>
        </w:rPr>
        <w:t xml:space="preserve">le </w:t>
      </w:r>
      <w:r w:rsidRPr="008F33FE">
        <w:rPr>
          <w:rFonts w:ascii="DIN" w:hAnsi="DIN" w:cs="DIN"/>
          <w:color w:val="000000"/>
          <w:sz w:val="16"/>
          <w:szCs w:val="16"/>
          <w:lang w:val="fr-FR"/>
        </w:rPr>
        <w:t>p</w:t>
      </w:r>
      <w:r w:rsidRPr="008F33FE">
        <w:rPr>
          <w:rFonts w:ascii="DIN" w:hAnsi="DIN" w:cs="DIN"/>
          <w:b/>
          <w:bCs/>
          <w:color w:val="000000"/>
          <w:sz w:val="16"/>
          <w:szCs w:val="16"/>
          <w:lang w:val="fr-FR"/>
        </w:rPr>
        <w:t>ré</w:t>
      </w:r>
      <w:r w:rsidRPr="008F33FE">
        <w:rPr>
          <w:rFonts w:ascii="DIN" w:hAnsi="DIN" w:cs="DIN"/>
          <w:color w:val="000000"/>
          <w:sz w:val="16"/>
          <w:szCs w:val="16"/>
          <w:lang w:val="fr-FR"/>
        </w:rPr>
        <w:t>p</w:t>
      </w:r>
      <w:r w:rsidRPr="008F33FE">
        <w:rPr>
          <w:rFonts w:ascii="DIN" w:hAnsi="DIN" w:cs="DIN"/>
          <w:b/>
          <w:bCs/>
          <w:color w:val="000000"/>
          <w:sz w:val="16"/>
          <w:szCs w:val="16"/>
          <w:lang w:val="fr-FR"/>
        </w:rPr>
        <w:t xml:space="preserve">aratoire </w:t>
      </w:r>
    </w:p>
    <w:p w:rsidR="008F33FE" w:rsidRPr="008F33FE" w:rsidRDefault="008F33FE" w:rsidP="008F33FE">
      <w:pPr>
        <w:autoSpaceDE w:val="0"/>
        <w:autoSpaceDN w:val="0"/>
        <w:adjustRightInd w:val="0"/>
        <w:spacing w:after="0" w:line="241" w:lineRule="atLeast"/>
        <w:jc w:val="both"/>
        <w:rPr>
          <w:rFonts w:ascii="DIN" w:hAnsi="DIN" w:cs="DIN"/>
          <w:color w:val="000000"/>
          <w:sz w:val="18"/>
          <w:szCs w:val="18"/>
          <w:lang w:val="fr-FR"/>
        </w:rPr>
      </w:pPr>
      <w:r w:rsidRPr="008F33FE">
        <w:rPr>
          <w:rFonts w:ascii="DIN" w:hAnsi="DIN" w:cs="DIN"/>
          <w:color w:val="000000"/>
          <w:sz w:val="18"/>
          <w:lang w:val="fr-FR"/>
        </w:rPr>
        <w:t xml:space="preserve">Les études de tronc commun dispensent une formation à la fois disciplinaire et méthodologique. </w:t>
      </w:r>
    </w:p>
    <w:p w:rsidR="008F33FE" w:rsidRPr="008F33FE" w:rsidRDefault="008F33FE" w:rsidP="008F33FE">
      <w:pPr>
        <w:autoSpaceDE w:val="0"/>
        <w:autoSpaceDN w:val="0"/>
        <w:adjustRightInd w:val="0"/>
        <w:spacing w:after="0" w:line="241" w:lineRule="atLeast"/>
        <w:jc w:val="both"/>
        <w:rPr>
          <w:rFonts w:ascii="DIN" w:hAnsi="DIN" w:cs="DIN"/>
          <w:color w:val="000000"/>
          <w:sz w:val="18"/>
          <w:szCs w:val="18"/>
          <w:lang w:val="fr-FR"/>
        </w:rPr>
      </w:pPr>
      <w:r w:rsidRPr="008F33FE">
        <w:rPr>
          <w:rFonts w:ascii="DIN" w:hAnsi="DIN" w:cs="DIN"/>
          <w:color w:val="000000"/>
          <w:sz w:val="18"/>
          <w:lang w:val="fr-FR"/>
        </w:rPr>
        <w:t xml:space="preserve">Le tronc commun permet : </w:t>
      </w:r>
    </w:p>
    <w:p w:rsidR="008F33FE" w:rsidRPr="008F33FE" w:rsidRDefault="008F33FE" w:rsidP="008F33FE">
      <w:pPr>
        <w:autoSpaceDE w:val="0"/>
        <w:autoSpaceDN w:val="0"/>
        <w:adjustRightInd w:val="0"/>
        <w:spacing w:after="0" w:line="241" w:lineRule="atLeast"/>
        <w:jc w:val="both"/>
        <w:rPr>
          <w:rFonts w:ascii="DIN" w:hAnsi="DIN" w:cs="DIN"/>
          <w:color w:val="000000"/>
          <w:sz w:val="18"/>
          <w:szCs w:val="18"/>
          <w:lang w:val="fr-FR"/>
        </w:rPr>
      </w:pPr>
      <w:r w:rsidRPr="008F33FE">
        <w:rPr>
          <w:rFonts w:ascii="DIN" w:hAnsi="DIN" w:cs="DIN"/>
          <w:color w:val="000000"/>
          <w:sz w:val="18"/>
          <w:lang w:val="fr-FR"/>
        </w:rPr>
        <w:t xml:space="preserve">• d’aborder toutes les disciplines scientifiques : mathématiques, physique, chimie,… et les disciplines techniques : informatique, dessin technique, construction, </w:t>
      </w:r>
    </w:p>
    <w:p w:rsidR="008F33FE" w:rsidRPr="008F33FE" w:rsidRDefault="008F33FE" w:rsidP="008F33FE">
      <w:pPr>
        <w:autoSpaceDE w:val="0"/>
        <w:autoSpaceDN w:val="0"/>
        <w:adjustRightInd w:val="0"/>
        <w:spacing w:after="0" w:line="241" w:lineRule="atLeast"/>
        <w:jc w:val="both"/>
        <w:rPr>
          <w:rFonts w:ascii="DIN" w:hAnsi="DIN" w:cs="DIN"/>
          <w:color w:val="000000"/>
          <w:sz w:val="18"/>
          <w:szCs w:val="18"/>
          <w:lang w:val="fr-FR"/>
        </w:rPr>
      </w:pPr>
      <w:r w:rsidRPr="008F33FE">
        <w:rPr>
          <w:rFonts w:ascii="DIN" w:hAnsi="DIN" w:cs="DIN"/>
          <w:color w:val="000000"/>
          <w:sz w:val="18"/>
          <w:lang w:val="fr-FR"/>
        </w:rPr>
        <w:t xml:space="preserve">• d’améliorer votre aptitude à communiquer par écrit et oral, en français et en langue étrangère, </w:t>
      </w:r>
    </w:p>
    <w:p w:rsidR="008F33FE" w:rsidRPr="008F33FE" w:rsidRDefault="008F33FE" w:rsidP="008F33FE">
      <w:pPr>
        <w:autoSpaceDE w:val="0"/>
        <w:autoSpaceDN w:val="0"/>
        <w:adjustRightInd w:val="0"/>
        <w:spacing w:after="0" w:line="241" w:lineRule="atLeast"/>
        <w:jc w:val="both"/>
        <w:rPr>
          <w:rFonts w:ascii="DIN" w:hAnsi="DIN" w:cs="DIN"/>
          <w:color w:val="000000"/>
          <w:sz w:val="18"/>
          <w:szCs w:val="18"/>
          <w:lang w:val="fr-FR"/>
        </w:rPr>
      </w:pPr>
      <w:r w:rsidRPr="008F33FE">
        <w:rPr>
          <w:rFonts w:ascii="DIN" w:hAnsi="DIN" w:cs="DIN"/>
          <w:color w:val="000000"/>
          <w:sz w:val="18"/>
          <w:lang w:val="fr-FR"/>
        </w:rPr>
        <w:t xml:space="preserve">• d’apporter une ouverture sur les sciences humaines et sociales, </w:t>
      </w:r>
    </w:p>
    <w:p w:rsidR="008F33FE" w:rsidRPr="008F33FE" w:rsidRDefault="008F33FE" w:rsidP="008F33FE">
      <w:pPr>
        <w:autoSpaceDE w:val="0"/>
        <w:autoSpaceDN w:val="0"/>
        <w:adjustRightInd w:val="0"/>
        <w:spacing w:after="0" w:line="241" w:lineRule="atLeast"/>
        <w:jc w:val="both"/>
        <w:rPr>
          <w:rFonts w:ascii="DIN" w:hAnsi="DIN" w:cs="DIN"/>
          <w:color w:val="000000"/>
          <w:sz w:val="18"/>
          <w:szCs w:val="18"/>
          <w:lang w:val="fr-FR"/>
        </w:rPr>
      </w:pPr>
      <w:r w:rsidRPr="008F33FE">
        <w:rPr>
          <w:rFonts w:ascii="DIN" w:hAnsi="DIN" w:cs="DIN"/>
          <w:color w:val="000000"/>
          <w:sz w:val="18"/>
          <w:lang w:val="fr-FR"/>
        </w:rPr>
        <w:t xml:space="preserve">• d’acquérir l’autonomie nécessaire à un futur ingénieur. </w:t>
      </w:r>
    </w:p>
    <w:p w:rsidR="008F33FE" w:rsidRPr="008F33FE" w:rsidRDefault="008F33FE" w:rsidP="008F33FE">
      <w:pPr>
        <w:autoSpaceDE w:val="0"/>
        <w:autoSpaceDN w:val="0"/>
        <w:adjustRightInd w:val="0"/>
        <w:spacing w:after="0" w:line="241" w:lineRule="atLeast"/>
        <w:jc w:val="both"/>
        <w:rPr>
          <w:rFonts w:ascii="DIN" w:hAnsi="DIN" w:cs="DIN"/>
          <w:color w:val="000000"/>
          <w:sz w:val="18"/>
          <w:szCs w:val="18"/>
          <w:lang w:val="fr-FR"/>
        </w:rPr>
      </w:pPr>
      <w:r w:rsidRPr="008F33FE">
        <w:rPr>
          <w:rFonts w:ascii="DIN" w:hAnsi="DIN" w:cs="DIN"/>
          <w:color w:val="000000"/>
          <w:sz w:val="18"/>
          <w:lang w:val="fr-FR"/>
        </w:rPr>
        <w:t xml:space="preserve">Cette période de formation vous permet également de découvrir le monde de l’entreprise, de confirmer vos motivations et surtout de faciliter votre choix de branche. </w:t>
      </w:r>
    </w:p>
    <w:p w:rsidR="008F33FE" w:rsidRPr="008F33FE" w:rsidRDefault="008F33FE" w:rsidP="008F33FE">
      <w:pPr>
        <w:autoSpaceDE w:val="0"/>
        <w:autoSpaceDN w:val="0"/>
        <w:adjustRightInd w:val="0"/>
        <w:spacing w:after="0" w:line="241" w:lineRule="atLeast"/>
        <w:jc w:val="both"/>
        <w:rPr>
          <w:rFonts w:ascii="DIN" w:hAnsi="DIN" w:cs="DIN"/>
          <w:color w:val="000000"/>
          <w:sz w:val="18"/>
          <w:szCs w:val="18"/>
          <w:lang w:val="fr-FR"/>
        </w:rPr>
      </w:pPr>
      <w:r w:rsidRPr="008F33FE">
        <w:rPr>
          <w:rFonts w:ascii="DIN" w:hAnsi="DIN" w:cs="DIN"/>
          <w:color w:val="000000"/>
          <w:sz w:val="18"/>
          <w:lang w:val="fr-FR"/>
        </w:rPr>
        <w:t xml:space="preserve">Validation des crédits pour un passage en branche </w:t>
      </w:r>
    </w:p>
    <w:p w:rsidR="008F33FE" w:rsidRPr="008F33FE" w:rsidRDefault="008F33FE" w:rsidP="008F33FE">
      <w:pPr>
        <w:autoSpaceDE w:val="0"/>
        <w:autoSpaceDN w:val="0"/>
        <w:adjustRightInd w:val="0"/>
        <w:spacing w:after="100" w:line="241" w:lineRule="atLeast"/>
        <w:jc w:val="both"/>
        <w:rPr>
          <w:rFonts w:ascii="DIN" w:hAnsi="DIN" w:cs="DIN"/>
          <w:color w:val="000000"/>
          <w:sz w:val="18"/>
          <w:szCs w:val="18"/>
          <w:lang w:val="fr-FR"/>
        </w:rPr>
      </w:pPr>
      <w:r w:rsidRPr="008F33FE">
        <w:rPr>
          <w:rFonts w:ascii="DIN" w:hAnsi="DIN" w:cs="DIN"/>
          <w:color w:val="000000"/>
          <w:sz w:val="18"/>
          <w:lang w:val="fr-FR"/>
        </w:rPr>
        <w:t xml:space="preserve">Pour passer en branche au bout de 3 ou 4 semestres, vous devez obtenir au minimum 102 crédits de tronc commun avec un minimum de : </w:t>
      </w:r>
    </w:p>
    <w:p w:rsidR="008F33FE" w:rsidRPr="008F33FE" w:rsidRDefault="008F33FE" w:rsidP="008F33FE">
      <w:pPr>
        <w:autoSpaceDE w:val="0"/>
        <w:autoSpaceDN w:val="0"/>
        <w:adjustRightInd w:val="0"/>
        <w:spacing w:after="100" w:line="241" w:lineRule="atLeast"/>
        <w:rPr>
          <w:rFonts w:ascii="DIN" w:hAnsi="DIN" w:cs="DIN"/>
          <w:color w:val="000000"/>
          <w:sz w:val="18"/>
          <w:szCs w:val="18"/>
          <w:lang w:val="fr-FR"/>
        </w:rPr>
      </w:pPr>
      <w:r w:rsidRPr="008F33FE">
        <w:rPr>
          <w:rFonts w:ascii="DIN Cond" w:hAnsi="DIN Cond" w:cs="DIN Cond"/>
          <w:color w:val="000000"/>
          <w:sz w:val="18"/>
          <w:lang w:val="fr-FR"/>
        </w:rPr>
        <w:t xml:space="preserve">Connaissances scientifiques (CS) 48 crédits </w:t>
      </w:r>
    </w:p>
    <w:p w:rsidR="008F33FE" w:rsidRPr="008F33FE" w:rsidRDefault="008F33FE" w:rsidP="008F33FE">
      <w:pPr>
        <w:autoSpaceDE w:val="0"/>
        <w:autoSpaceDN w:val="0"/>
        <w:adjustRightInd w:val="0"/>
        <w:spacing w:after="100" w:line="241" w:lineRule="atLeast"/>
        <w:rPr>
          <w:rFonts w:ascii="DIN" w:hAnsi="DIN" w:cs="DIN"/>
          <w:color w:val="000000"/>
          <w:sz w:val="18"/>
          <w:szCs w:val="18"/>
          <w:lang w:val="fr-FR"/>
        </w:rPr>
      </w:pPr>
      <w:r w:rsidRPr="008F33FE">
        <w:rPr>
          <w:rFonts w:ascii="DIN Cond" w:hAnsi="DIN Cond" w:cs="DIN Cond"/>
          <w:color w:val="000000"/>
          <w:sz w:val="18"/>
          <w:lang w:val="fr-FR"/>
        </w:rPr>
        <w:t xml:space="preserve">Techniques et méthodes (TM) 24 crédits </w:t>
      </w:r>
    </w:p>
    <w:p w:rsidR="008F33FE" w:rsidRPr="008F33FE" w:rsidRDefault="008F33FE" w:rsidP="008F33FE">
      <w:pPr>
        <w:autoSpaceDE w:val="0"/>
        <w:autoSpaceDN w:val="0"/>
        <w:adjustRightInd w:val="0"/>
        <w:spacing w:after="0" w:line="241" w:lineRule="atLeast"/>
        <w:rPr>
          <w:rFonts w:ascii="DIN" w:hAnsi="DIN" w:cs="DIN"/>
          <w:color w:val="000000"/>
          <w:sz w:val="18"/>
          <w:szCs w:val="18"/>
          <w:lang w:val="fr-FR"/>
        </w:rPr>
      </w:pPr>
      <w:r w:rsidRPr="008F33FE">
        <w:rPr>
          <w:rFonts w:ascii="DIN Cond" w:hAnsi="DIN Cond" w:cs="DIN Cond"/>
          <w:color w:val="000000"/>
          <w:sz w:val="18"/>
          <w:lang w:val="fr-FR"/>
        </w:rPr>
        <w:t xml:space="preserve">Technologie et Sciences de l'Homme (TSH) 24 crédits </w:t>
      </w:r>
    </w:p>
    <w:p w:rsidR="008F33FE" w:rsidRDefault="008F33FE" w:rsidP="008F33FE">
      <w:pPr>
        <w:rPr>
          <w:rFonts w:ascii="DIN" w:hAnsi="DIN" w:cs="DIN"/>
          <w:color w:val="000000"/>
          <w:sz w:val="18"/>
          <w:lang w:val="fr-FR"/>
        </w:rPr>
      </w:pPr>
      <w:r w:rsidRPr="008F33FE">
        <w:rPr>
          <w:rFonts w:ascii="DIN" w:hAnsi="DIN" w:cs="DIN"/>
          <w:color w:val="000000"/>
          <w:sz w:val="18"/>
          <w:lang w:val="fr-FR"/>
        </w:rPr>
        <w:t>Pour passer en branche au bout de 5 semestres, vous devez obtenir au minimum 120 crédits de tronc commun avec un profil minimum de formation identique au précédent.</w:t>
      </w:r>
    </w:p>
    <w:p w:rsidR="008F33FE" w:rsidRPr="008F33FE" w:rsidRDefault="008F33FE" w:rsidP="008F33FE">
      <w:pPr>
        <w:pStyle w:val="Pa14"/>
        <w:spacing w:after="40"/>
        <w:jc w:val="both"/>
        <w:rPr>
          <w:rFonts w:cs="DIN"/>
          <w:color w:val="000000"/>
          <w:sz w:val="18"/>
          <w:szCs w:val="18"/>
          <w:lang w:val="fr-FR"/>
        </w:rPr>
      </w:pPr>
      <w:r w:rsidRPr="008F33FE">
        <w:rPr>
          <w:rStyle w:val="A00"/>
          <w:lang w:val="fr-FR"/>
        </w:rPr>
        <w:t xml:space="preserve">Conseils pour le choix de vos langues : </w:t>
      </w:r>
    </w:p>
    <w:p w:rsidR="008F33FE" w:rsidRPr="008F33FE" w:rsidRDefault="008F33FE" w:rsidP="008F33FE">
      <w:pPr>
        <w:pStyle w:val="Pa14"/>
        <w:spacing w:after="40"/>
        <w:jc w:val="both"/>
        <w:rPr>
          <w:rFonts w:cs="DIN"/>
          <w:color w:val="000000"/>
          <w:sz w:val="18"/>
          <w:szCs w:val="18"/>
          <w:lang w:val="fr-FR"/>
        </w:rPr>
      </w:pPr>
      <w:r w:rsidRPr="008F33FE">
        <w:rPr>
          <w:rStyle w:val="A00"/>
          <w:lang w:val="fr-FR"/>
        </w:rPr>
        <w:t xml:space="preserve">• Privilégiez l’approfondissement des langues et non l’accumulation de niveaux d’initiation </w:t>
      </w:r>
    </w:p>
    <w:p w:rsidR="008F33FE" w:rsidRPr="008F33FE" w:rsidRDefault="008F33FE" w:rsidP="008F33FE">
      <w:pPr>
        <w:pStyle w:val="Pa14"/>
        <w:spacing w:after="40"/>
        <w:jc w:val="both"/>
        <w:rPr>
          <w:rFonts w:cs="DIN"/>
          <w:color w:val="000000"/>
          <w:sz w:val="18"/>
          <w:szCs w:val="18"/>
          <w:lang w:val="fr-FR"/>
        </w:rPr>
      </w:pPr>
      <w:r w:rsidRPr="008F33FE">
        <w:rPr>
          <w:rStyle w:val="A00"/>
          <w:lang w:val="fr-FR"/>
        </w:rPr>
        <w:t xml:space="preserve">• N’entamez l’apprentissage d’une troisième langue qu’après avoir validé 4 en anglais (LA14 ; LB14 ; LC14) et B1 dans une autre langue. </w:t>
      </w:r>
    </w:p>
    <w:p w:rsidR="008F33FE" w:rsidRPr="008F33FE" w:rsidRDefault="008F33FE" w:rsidP="008F33FE">
      <w:pPr>
        <w:pStyle w:val="Pa16"/>
        <w:spacing w:after="160"/>
        <w:jc w:val="both"/>
        <w:rPr>
          <w:rFonts w:cs="DIN"/>
          <w:color w:val="000000"/>
          <w:sz w:val="18"/>
          <w:szCs w:val="18"/>
          <w:lang w:val="fr-FR"/>
        </w:rPr>
      </w:pPr>
      <w:r w:rsidRPr="008F33FE">
        <w:rPr>
          <w:rStyle w:val="A00"/>
          <w:lang w:val="fr-FR"/>
        </w:rPr>
        <w:t xml:space="preserve">• Pour les langues entamées au niveau initiation (notamment le chinois et le japonais), pensez à le faire tôt dans votre cursus pour avoir le temps de les approfondir. </w:t>
      </w:r>
    </w:p>
    <w:p w:rsidR="008F33FE" w:rsidRPr="008F33FE" w:rsidRDefault="008F33FE" w:rsidP="008F33FE">
      <w:pPr>
        <w:pStyle w:val="Pa14"/>
        <w:spacing w:after="40"/>
        <w:jc w:val="both"/>
        <w:rPr>
          <w:rFonts w:cs="DIN"/>
          <w:color w:val="000000"/>
          <w:sz w:val="18"/>
          <w:szCs w:val="18"/>
          <w:lang w:val="fr-FR"/>
        </w:rPr>
      </w:pPr>
      <w:r w:rsidRPr="008F33FE">
        <w:rPr>
          <w:rStyle w:val="A00"/>
          <w:b/>
          <w:bCs/>
          <w:lang w:val="fr-FR"/>
        </w:rPr>
        <w:t xml:space="preserve">Conseils particuliers dans le cas d’une UV d’anglais, </w:t>
      </w:r>
      <w:r w:rsidRPr="008F33FE">
        <w:rPr>
          <w:rStyle w:val="A00"/>
          <w:lang w:val="fr-FR"/>
        </w:rPr>
        <w:t xml:space="preserve">si toutefois vous optez pour l'anglais ce semestre. </w:t>
      </w:r>
    </w:p>
    <w:p w:rsidR="008F33FE" w:rsidRPr="008F33FE" w:rsidRDefault="008F33FE" w:rsidP="008F33FE">
      <w:pPr>
        <w:pStyle w:val="Pa14"/>
        <w:spacing w:after="40"/>
        <w:jc w:val="both"/>
        <w:rPr>
          <w:rFonts w:cs="DIN"/>
          <w:color w:val="000000"/>
          <w:sz w:val="18"/>
          <w:szCs w:val="18"/>
          <w:lang w:val="fr-FR"/>
        </w:rPr>
      </w:pPr>
      <w:r w:rsidRPr="008F33FE">
        <w:rPr>
          <w:rStyle w:val="A00"/>
          <w:lang w:val="fr-FR"/>
        </w:rPr>
        <w:t xml:space="preserve">Afin d'obtenir des groupes homogènes, nous vous conseillons la répartition / l’orientation suivante, selon vos résultats en anglais au baccalauréat général : </w:t>
      </w:r>
    </w:p>
    <w:p w:rsidR="008F33FE" w:rsidRPr="008F33FE" w:rsidRDefault="008F33FE" w:rsidP="008F33FE">
      <w:pPr>
        <w:pStyle w:val="Pa14"/>
        <w:spacing w:after="40"/>
        <w:jc w:val="both"/>
        <w:rPr>
          <w:rFonts w:cs="DIN"/>
          <w:color w:val="000000"/>
          <w:sz w:val="18"/>
          <w:szCs w:val="18"/>
          <w:lang w:val="fr-FR"/>
        </w:rPr>
      </w:pPr>
      <w:r w:rsidRPr="008F33FE">
        <w:rPr>
          <w:rStyle w:val="A00"/>
          <w:lang w:val="fr-FR"/>
        </w:rPr>
        <w:t xml:space="preserve">• Résultat au bac inférieur à 14 : nous vous conseillons une inscription en LA12. </w:t>
      </w:r>
    </w:p>
    <w:p w:rsidR="008F33FE" w:rsidRPr="008F33FE" w:rsidRDefault="008F33FE" w:rsidP="008F33FE">
      <w:pPr>
        <w:pStyle w:val="Pa14"/>
        <w:spacing w:after="40"/>
        <w:jc w:val="both"/>
        <w:rPr>
          <w:rFonts w:cs="DIN"/>
          <w:color w:val="000000"/>
          <w:sz w:val="18"/>
          <w:szCs w:val="18"/>
          <w:lang w:val="fr-FR"/>
        </w:rPr>
      </w:pPr>
      <w:r w:rsidRPr="008F33FE">
        <w:rPr>
          <w:rStyle w:val="A00"/>
          <w:lang w:val="fr-FR"/>
        </w:rPr>
        <w:t xml:space="preserve">• Résultat au bac supérieur à 14. Nous estimons que le niveau B1 est atteint. Inutile de vous inscrire en LA12. </w:t>
      </w:r>
    </w:p>
    <w:p w:rsidR="008F33FE" w:rsidRPr="008F33FE" w:rsidRDefault="008F33FE" w:rsidP="008F33FE">
      <w:pPr>
        <w:pStyle w:val="Pa14"/>
        <w:spacing w:after="40"/>
        <w:jc w:val="both"/>
        <w:rPr>
          <w:rFonts w:cs="DIN"/>
          <w:color w:val="000000"/>
          <w:sz w:val="18"/>
          <w:szCs w:val="18"/>
          <w:lang w:val="fr-FR"/>
        </w:rPr>
      </w:pPr>
      <w:r w:rsidRPr="008F33FE">
        <w:rPr>
          <w:rStyle w:val="A00"/>
          <w:lang w:val="fr-FR"/>
        </w:rPr>
        <w:t xml:space="preserve">• Résultat au bac entre 14 et 17, nous vous conseillons LA13. </w:t>
      </w:r>
    </w:p>
    <w:p w:rsidR="008F33FE" w:rsidRPr="008F33FE" w:rsidRDefault="008F33FE" w:rsidP="008F33FE">
      <w:pPr>
        <w:pStyle w:val="Pa14"/>
        <w:spacing w:after="40"/>
        <w:jc w:val="both"/>
        <w:rPr>
          <w:rFonts w:cs="DIN"/>
          <w:color w:val="000000"/>
          <w:sz w:val="18"/>
          <w:szCs w:val="18"/>
          <w:lang w:val="fr-FR"/>
        </w:rPr>
      </w:pPr>
      <w:r w:rsidRPr="008F33FE">
        <w:rPr>
          <w:rStyle w:val="A00"/>
          <w:lang w:val="fr-FR"/>
        </w:rPr>
        <w:t xml:space="preserve">• Résultat au bac et moyenne de l'année supérieurs à 17 : vous pouvez envisager directement LA14, ou LC14, </w:t>
      </w:r>
    </w:p>
    <w:p w:rsidR="008F33FE" w:rsidRPr="008F33FE" w:rsidRDefault="008F33FE" w:rsidP="008F33FE">
      <w:pPr>
        <w:rPr>
          <w:lang w:val="fr-FR"/>
        </w:rPr>
      </w:pPr>
      <w:proofErr w:type="gramStart"/>
      <w:r w:rsidRPr="008F33FE">
        <w:rPr>
          <w:rStyle w:val="A00"/>
          <w:lang w:val="fr-FR"/>
        </w:rPr>
        <w:t>surtout</w:t>
      </w:r>
      <w:proofErr w:type="gramEnd"/>
      <w:r w:rsidRPr="008F33FE">
        <w:rPr>
          <w:rStyle w:val="A00"/>
          <w:lang w:val="fr-FR"/>
        </w:rPr>
        <w:t xml:space="preserve"> si vous étiez en section européenne ou si vous avez fait des séjours dans un pays anglophone.</w:t>
      </w:r>
    </w:p>
    <w:sectPr w:rsidR="008F33FE" w:rsidRPr="008F33FE" w:rsidSect="00EC08F4">
      <w:pgSz w:w="11906" w:h="16838"/>
      <w:pgMar w:top="709"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AFF" w:usb1="C000605B" w:usb2="00000029" w:usb3="00000000" w:csb0="000101FF" w:csb1="00000000"/>
  </w:font>
  <w:font w:name="DIN 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068A"/>
    <w:rsid w:val="0001257B"/>
    <w:rsid w:val="00404AD1"/>
    <w:rsid w:val="007B52D4"/>
    <w:rsid w:val="008F33FE"/>
    <w:rsid w:val="00A27B76"/>
    <w:rsid w:val="00B43F58"/>
    <w:rsid w:val="00EC08F4"/>
    <w:rsid w:val="00FC06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FC068A"/>
    <w:pPr>
      <w:autoSpaceDE w:val="0"/>
      <w:autoSpaceDN w:val="0"/>
      <w:adjustRightInd w:val="0"/>
      <w:spacing w:after="0" w:line="241" w:lineRule="atLeast"/>
    </w:pPr>
    <w:rPr>
      <w:rFonts w:ascii="DIN" w:hAnsi="DIN"/>
      <w:sz w:val="24"/>
      <w:szCs w:val="24"/>
    </w:rPr>
  </w:style>
  <w:style w:type="paragraph" w:customStyle="1" w:styleId="Pa9">
    <w:name w:val="Pa9"/>
    <w:basedOn w:val="a"/>
    <w:next w:val="a"/>
    <w:uiPriority w:val="99"/>
    <w:rsid w:val="00FC068A"/>
    <w:pPr>
      <w:autoSpaceDE w:val="0"/>
      <w:autoSpaceDN w:val="0"/>
      <w:adjustRightInd w:val="0"/>
      <w:spacing w:after="0" w:line="241" w:lineRule="atLeast"/>
    </w:pPr>
    <w:rPr>
      <w:rFonts w:ascii="DIN" w:hAnsi="DIN"/>
      <w:sz w:val="24"/>
      <w:szCs w:val="24"/>
    </w:rPr>
  </w:style>
  <w:style w:type="character" w:customStyle="1" w:styleId="A00">
    <w:name w:val="A0"/>
    <w:uiPriority w:val="99"/>
    <w:rsid w:val="00FC068A"/>
    <w:rPr>
      <w:rFonts w:cs="DIN"/>
      <w:color w:val="000000"/>
      <w:sz w:val="18"/>
      <w:szCs w:val="18"/>
    </w:rPr>
  </w:style>
  <w:style w:type="character" w:customStyle="1" w:styleId="A12">
    <w:name w:val="A12"/>
    <w:uiPriority w:val="99"/>
    <w:rsid w:val="00FC068A"/>
    <w:rPr>
      <w:rFonts w:cs="DIN"/>
      <w:color w:val="000000"/>
      <w:sz w:val="25"/>
      <w:szCs w:val="25"/>
    </w:rPr>
  </w:style>
  <w:style w:type="paragraph" w:customStyle="1" w:styleId="Default">
    <w:name w:val="Default"/>
    <w:rsid w:val="00FC068A"/>
    <w:pPr>
      <w:autoSpaceDE w:val="0"/>
      <w:autoSpaceDN w:val="0"/>
      <w:adjustRightInd w:val="0"/>
      <w:spacing w:after="0" w:line="240" w:lineRule="auto"/>
    </w:pPr>
    <w:rPr>
      <w:rFonts w:ascii="DIN" w:hAnsi="DIN" w:cs="DIN"/>
      <w:color w:val="000000"/>
      <w:sz w:val="24"/>
      <w:szCs w:val="24"/>
    </w:rPr>
  </w:style>
  <w:style w:type="paragraph" w:customStyle="1" w:styleId="Pa13">
    <w:name w:val="Pa13"/>
    <w:basedOn w:val="Default"/>
    <w:next w:val="Default"/>
    <w:uiPriority w:val="99"/>
    <w:rsid w:val="00FC068A"/>
    <w:pPr>
      <w:spacing w:line="241" w:lineRule="atLeast"/>
    </w:pPr>
    <w:rPr>
      <w:rFonts w:cstheme="minorBidi"/>
      <w:color w:val="auto"/>
    </w:rPr>
  </w:style>
  <w:style w:type="paragraph" w:customStyle="1" w:styleId="Pa1">
    <w:name w:val="Pa1"/>
    <w:basedOn w:val="Default"/>
    <w:next w:val="Default"/>
    <w:uiPriority w:val="99"/>
    <w:rsid w:val="00FC068A"/>
    <w:pPr>
      <w:spacing w:line="241" w:lineRule="atLeast"/>
    </w:pPr>
    <w:rPr>
      <w:rFonts w:cstheme="minorBidi"/>
      <w:color w:val="auto"/>
    </w:rPr>
  </w:style>
  <w:style w:type="paragraph" w:styleId="a3">
    <w:name w:val="Balloon Text"/>
    <w:basedOn w:val="a"/>
    <w:link w:val="Char"/>
    <w:uiPriority w:val="99"/>
    <w:semiHidden/>
    <w:unhideWhenUsed/>
    <w:rsid w:val="00FC068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C068A"/>
    <w:rPr>
      <w:rFonts w:ascii="Tahoma" w:hAnsi="Tahoma" w:cs="Tahoma"/>
      <w:sz w:val="16"/>
      <w:szCs w:val="16"/>
    </w:rPr>
  </w:style>
  <w:style w:type="paragraph" w:styleId="a4">
    <w:name w:val="No Spacing"/>
    <w:uiPriority w:val="1"/>
    <w:qFormat/>
    <w:rsid w:val="00FC068A"/>
    <w:pPr>
      <w:spacing w:after="0" w:line="240" w:lineRule="auto"/>
    </w:pPr>
  </w:style>
  <w:style w:type="character" w:styleId="-">
    <w:name w:val="Hyperlink"/>
    <w:basedOn w:val="a0"/>
    <w:uiPriority w:val="99"/>
    <w:unhideWhenUsed/>
    <w:rsid w:val="00FC068A"/>
    <w:rPr>
      <w:color w:val="0000FF" w:themeColor="hyperlink"/>
      <w:u w:val="single"/>
    </w:rPr>
  </w:style>
  <w:style w:type="paragraph" w:customStyle="1" w:styleId="Pa6">
    <w:name w:val="Pa6"/>
    <w:basedOn w:val="Default"/>
    <w:next w:val="Default"/>
    <w:uiPriority w:val="99"/>
    <w:rsid w:val="008F33FE"/>
    <w:pPr>
      <w:spacing w:line="241" w:lineRule="atLeast"/>
    </w:pPr>
    <w:rPr>
      <w:rFonts w:cstheme="minorBidi"/>
      <w:color w:val="auto"/>
    </w:rPr>
  </w:style>
  <w:style w:type="paragraph" w:customStyle="1" w:styleId="Pa5">
    <w:name w:val="Pa5"/>
    <w:basedOn w:val="Default"/>
    <w:next w:val="Default"/>
    <w:uiPriority w:val="99"/>
    <w:rsid w:val="008F33FE"/>
    <w:pPr>
      <w:spacing w:line="241" w:lineRule="atLeast"/>
    </w:pPr>
    <w:rPr>
      <w:rFonts w:cstheme="minorBidi"/>
      <w:color w:val="auto"/>
    </w:rPr>
  </w:style>
  <w:style w:type="paragraph" w:customStyle="1" w:styleId="Pa14">
    <w:name w:val="Pa14"/>
    <w:basedOn w:val="Default"/>
    <w:next w:val="Default"/>
    <w:uiPriority w:val="99"/>
    <w:rsid w:val="008F33FE"/>
    <w:pPr>
      <w:spacing w:line="241" w:lineRule="atLeast"/>
    </w:pPr>
    <w:rPr>
      <w:rFonts w:cstheme="minorBidi"/>
      <w:color w:val="auto"/>
    </w:rPr>
  </w:style>
  <w:style w:type="paragraph" w:customStyle="1" w:styleId="Pa16">
    <w:name w:val="Pa16"/>
    <w:basedOn w:val="Default"/>
    <w:next w:val="Default"/>
    <w:uiPriority w:val="99"/>
    <w:rsid w:val="008F33FE"/>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e_damaskou@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790</Words>
  <Characters>4269</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Eftychia</dc:creator>
  <cp:lastModifiedBy>Eftychia</cp:lastModifiedBy>
  <cp:revision>4</cp:revision>
  <dcterms:created xsi:type="dcterms:W3CDTF">2016-10-16T21:48:00Z</dcterms:created>
  <dcterms:modified xsi:type="dcterms:W3CDTF">2016-10-16T22:27:00Z</dcterms:modified>
</cp:coreProperties>
</file>